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67"/>
        <w:pBdr/>
        <w:spacing/>
        <w:ind/>
        <w:jc w:val="center"/>
        <w:rPr>
          <w:b/>
          <w:bCs/>
          <w:sz w:val="20"/>
          <w:szCs w:val="20"/>
          <w:highlight w:val="none"/>
          <w:shd w:val="clear" w:color="auto" w:fill="auto"/>
          <w:lang w:val="ru-RU"/>
        </w:rPr>
      </w:pPr>
      <w:r>
        <w:rPr>
          <w:b/>
          <w:bCs/>
          <w:sz w:val="20"/>
          <w:szCs w:val="20"/>
          <w:shd w:val="clear" w:color="auto" w:fill="auto"/>
          <w:lang w:val="ru-RU"/>
        </w:rPr>
      </w:r>
      <w:r>
        <w:rPr>
          <w:b/>
          <w:bCs/>
          <w:sz w:val="20"/>
          <w:szCs w:val="20"/>
          <w:highlight w:val="none"/>
          <w:shd w:val="clear" w:color="auto" w:fill="auto"/>
          <w:lang w:val="ru-RU"/>
        </w:rPr>
      </w:r>
      <w:r>
        <w:rPr>
          <w:b/>
          <w:b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center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        </w:t>
      </w:r>
      <w:r>
        <w:rPr>
          <w:b/>
          <w:sz w:val="20"/>
          <w:szCs w:val="20"/>
          <w:shd w:val="clear" w:color="auto" w:fill="auto"/>
          <w:lang w:val="ru-RU"/>
        </w:rPr>
        <w:t xml:space="preserve">Проект договора № ________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center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на оказания услуг по сервисному обслуживанию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center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основного производственного оборудования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center"/>
        <w:rPr>
          <w:b/>
          <w:sz w:val="20"/>
          <w:szCs w:val="20"/>
          <w:highlight w:val="none"/>
          <w:shd w:val="clear" w:color="auto" w:fill="auto"/>
          <w:lang w:val="ru-RU"/>
        </w:rPr>
      </w:pPr>
      <w:r>
        <w:rPr>
          <w:b/>
          <w:sz w:val="20"/>
          <w:szCs w:val="20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г.</w:t>
      </w:r>
      <w:bookmarkStart w:id="0" w:name="OLE_LINK2"/>
      <w:r/>
      <w:bookmarkStart w:id="1" w:name="OLE_LINK1"/>
      <w:r>
        <w:rPr>
          <w:sz w:val="20"/>
          <w:szCs w:val="20"/>
          <w:shd w:val="clear" w:color="auto" w:fill="auto"/>
          <w:lang w:val="ru-RU"/>
        </w:rPr>
        <w:t xml:space="preserve">________</w:t>
        <w:tab/>
        <w:tab/>
        <w:tab/>
        <w:tab/>
        <w:tab/>
        <w:tab/>
        <w:tab/>
        <w:tab/>
      </w:r>
      <w:bookmarkEnd w:id="0"/>
      <w:r/>
      <w:bookmarkEnd w:id="1"/>
      <w:r>
        <w:rPr>
          <w:sz w:val="20"/>
          <w:szCs w:val="20"/>
          <w:shd w:val="clear" w:color="auto" w:fill="auto"/>
          <w:lang w:val="ru-RU"/>
        </w:rPr>
        <w:t xml:space="preserve">               </w:t>
      </w:r>
      <w:r>
        <w:rPr>
          <w:b/>
          <w:sz w:val="20"/>
          <w:szCs w:val="20"/>
          <w:shd w:val="clear" w:color="auto" w:fill="auto"/>
          <w:lang w:val="ru-RU"/>
        </w:rPr>
        <w:t xml:space="preserve">           «___</w:t>
      </w:r>
      <w:r>
        <w:rPr>
          <w:bCs/>
          <w:sz w:val="20"/>
          <w:szCs w:val="20"/>
          <w:shd w:val="clear" w:color="auto" w:fill="auto"/>
          <w:lang w:val="ru-RU"/>
        </w:rPr>
        <w:t xml:space="preserve">» _______ 20 __ 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bCs/>
          <w:sz w:val="20"/>
          <w:szCs w:val="20"/>
          <w:highlight w:val="none"/>
          <w:shd w:val="clear" w:color="auto" w:fill="auto"/>
          <w:lang w:val="ru-RU"/>
        </w:rPr>
      </w:pPr>
      <w:r>
        <w:rPr>
          <w:bCs/>
          <w:sz w:val="20"/>
          <w:szCs w:val="20"/>
          <w:shd w:val="clear" w:color="auto" w:fill="auto"/>
          <w:lang w:val="ru-RU"/>
        </w:rPr>
      </w:r>
      <w:r>
        <w:rPr>
          <w:bCs/>
          <w:sz w:val="20"/>
          <w:szCs w:val="20"/>
          <w:highlight w:val="none"/>
          <w:shd w:val="clear" w:color="auto" w:fill="auto"/>
          <w:lang w:val="ru-RU"/>
        </w:rPr>
      </w:r>
      <w:r>
        <w:rPr>
          <w:b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62"/>
        <w:pBdr/>
        <w:tabs>
          <w:tab w:val="left" w:leader="none" w:pos="567"/>
          <w:tab w:val="clear" w:leader="none" w:pos="708"/>
          <w:tab w:val="left" w:leader="none" w:pos="851"/>
        </w:tabs>
        <w:spacing w:after="0" w:before="0"/>
        <w:ind w:firstLine="567"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Акционерное общество «Сахаэнерго» (АО «Сахаэнерго»)</w:t>
      </w:r>
      <w:r>
        <w:rPr>
          <w:sz w:val="20"/>
          <w:szCs w:val="20"/>
          <w:shd w:val="clear" w:color="auto" w:fill="auto"/>
          <w:lang w:val="ru-RU"/>
        </w:rPr>
        <w:t xml:space="preserve"> (далее – «Заказчик»), в лице ___________________, действующего на осн</w:t>
      </w:r>
      <w:r>
        <w:rPr>
          <w:sz w:val="20"/>
          <w:szCs w:val="20"/>
          <w:shd w:val="clear" w:color="auto" w:fill="auto"/>
          <w:lang w:val="ru-RU"/>
        </w:rPr>
        <w:t xml:space="preserve">овании ______________, с одной стороны, и ________________________ (далее – «Исполнитель»), в лице ___________________, действующего на основании ______________, с другой стороны, совместно в дальнейшем именуемые «Стороны», а по отдельности – «Сторона», по</w:t>
      </w:r>
      <w:r>
        <w:rPr>
          <w:sz w:val="20"/>
          <w:szCs w:val="20"/>
          <w:shd w:val="clear" w:color="auto" w:fill="auto"/>
          <w:lang w:val="en-US"/>
        </w:rPr>
        <w:t xml:space="preserve"> </w:t>
      </w:r>
      <w:r>
        <w:rPr>
          <w:sz w:val="20"/>
          <w:szCs w:val="20"/>
          <w:shd w:val="clear" w:color="auto" w:fill="auto"/>
          <w:lang w:val="ru-RU"/>
        </w:rPr>
        <w:t xml:space="preserve">результатам проведенной Заказчиком процедуры по лоту №_________</w:t>
      </w:r>
      <w:r>
        <w:rPr>
          <w:bCs/>
          <w:sz w:val="20"/>
          <w:szCs w:val="20"/>
          <w:shd w:val="clear" w:color="auto" w:fill="auto"/>
          <w:lang w:val="ru-RU"/>
        </w:rPr>
        <w:t xml:space="preserve">,</w:t>
      </w:r>
      <w:r>
        <w:rPr>
          <w:sz w:val="20"/>
          <w:szCs w:val="20"/>
          <w:shd w:val="clear" w:color="auto" w:fill="auto"/>
          <w:lang w:val="ru-RU"/>
        </w:rPr>
        <w:t xml:space="preserve"> и</w:t>
      </w:r>
      <w:r>
        <w:rPr>
          <w:sz w:val="20"/>
          <w:szCs w:val="20"/>
          <w:shd w:val="clear" w:color="auto" w:fill="auto"/>
          <w:lang w:val="en-US"/>
        </w:rPr>
        <w:t xml:space="preserve"> </w:t>
      </w:r>
      <w:r>
        <w:rPr>
          <w:bCs/>
          <w:sz w:val="20"/>
          <w:szCs w:val="20"/>
          <w:shd w:val="clear" w:color="auto" w:fill="auto"/>
          <w:lang w:val="ru-RU"/>
        </w:rPr>
        <w:t xml:space="preserve">на</w:t>
      </w:r>
      <w:r>
        <w:rPr>
          <w:bCs/>
          <w:sz w:val="20"/>
          <w:szCs w:val="20"/>
          <w:shd w:val="clear" w:color="auto" w:fill="auto"/>
          <w:lang w:val="en-US"/>
        </w:rPr>
        <w:t xml:space="preserve"> </w:t>
      </w:r>
      <w:r>
        <w:rPr>
          <w:bCs/>
          <w:sz w:val="20"/>
          <w:szCs w:val="20"/>
          <w:shd w:val="clear" w:color="auto" w:fill="auto"/>
          <w:lang w:val="ru-RU"/>
        </w:rPr>
        <w:t xml:space="preserve">основании аналитической записки №_______ от «___» _________ года, </w:t>
      </w:r>
      <w:r>
        <w:rPr>
          <w:sz w:val="20"/>
          <w:szCs w:val="20"/>
          <w:shd w:val="clear" w:color="auto" w:fill="auto"/>
          <w:lang w:val="ru-RU"/>
        </w:rPr>
        <w:t xml:space="preserve">заключили настоящий договор (далее – «Договор») о нижеследующем: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2"/>
        <w:pBdr/>
        <w:tabs>
          <w:tab w:val="left" w:leader="none" w:pos="567"/>
          <w:tab w:val="clear" w:leader="none" w:pos="708"/>
          <w:tab w:val="left" w:leader="none" w:pos="851"/>
        </w:tabs>
        <w:spacing w:after="0" w:before="0"/>
        <w:ind w:firstLine="567"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</w:tabs>
        <w:spacing/>
        <w:ind/>
        <w:jc w:val="center"/>
        <w:rPr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  <w:lang w:val="ru-RU"/>
        </w:rPr>
        <w:t xml:space="preserve">Термины и определения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70"/>
        <w:keepNext w:val="false"/>
        <w:pBdr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 w:after="0" w:before="0"/>
        <w:ind w:firstLine="567"/>
        <w:jc w:val="both"/>
        <w:rPr>
          <w:highlight w:val="none"/>
          <w:shd w:val="clear" w:color="auto" w:fill="auto"/>
        </w:rPr>
      </w:pPr>
      <w:r>
        <w:rPr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auto"/>
          <w:lang w:val="ru-RU" w:eastAsia="en-US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70"/>
        <w:keepNext w:val="false"/>
        <w:pBdr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 w:after="0" w:before="0"/>
        <w:ind w:firstLine="567"/>
        <w:jc w:val="both"/>
        <w:rPr>
          <w:highlight w:val="none"/>
          <w:shd w:val="clear" w:color="auto" w:fill="auto"/>
        </w:rPr>
      </w:pPr>
      <w:r>
        <w:rPr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auto"/>
          <w:lang w:val="ru-RU" w:eastAsia="en-US"/>
        </w:rPr>
        <w:t xml:space="preserve">«Договор» – настоящий договор, подписанный Заказчиком и Исполнителем,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70"/>
        <w:keepNext w:val="false"/>
        <w:pBdr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 w:after="0" w:before="0"/>
        <w:ind w:firstLine="567"/>
        <w:jc w:val="both"/>
        <w:rPr>
          <w:highlight w:val="none"/>
          <w:shd w:val="clear" w:color="auto" w:fill="auto"/>
        </w:rPr>
      </w:pPr>
      <w:r>
        <w:rPr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auto"/>
          <w:lang w:val="ru-RU" w:eastAsia="en-US"/>
        </w:rPr>
        <w:t xml:space="preserve">«Коммерческая тайн</w:t>
      </w:r>
      <w:r>
        <w:rPr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auto"/>
          <w:lang w:val="ru-RU" w:eastAsia="en-US"/>
        </w:rPr>
        <w:t xml:space="preserve">а»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Услуг, услуг или получить иную коммерческую выгоду.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70"/>
        <w:keepNext w:val="false"/>
        <w:pBdr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 w:after="0" w:before="0"/>
        <w:ind w:firstLine="567"/>
        <w:jc w:val="both"/>
        <w:rPr>
          <w:highlight w:val="none"/>
          <w:shd w:val="clear" w:color="auto" w:fill="auto"/>
        </w:rPr>
      </w:pPr>
      <w:r>
        <w:rPr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auto"/>
          <w:lang w:val="ru-RU" w:eastAsia="en-US"/>
        </w:rPr>
        <w:t xml:space="preserve">«Материально-технические ресурсы» – всевозможные материалы, запасные части, детали, комплектующие изделия, и</w:t>
      </w:r>
      <w:r>
        <w:rPr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auto"/>
          <w:lang w:val="ru-RU" w:eastAsia="en-US"/>
        </w:rPr>
        <w:t xml:space="preserve">нвентарь, отделочные материалы, сырье, смазочные материалы, иные товары, которые Исполнитель должен задействовать, использовать согласно условиям Договора, необходимые для оказания Услуг по Договору и последующей нормальной и надежной эксплуатации Объекта.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70"/>
        <w:keepNext w:val="false"/>
        <w:pBdr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 w:after="0" w:before="0"/>
        <w:ind w:firstLine="567"/>
        <w:jc w:val="both"/>
        <w:rPr>
          <w:highlight w:val="none"/>
          <w:shd w:val="clear" w:color="auto" w:fill="auto"/>
        </w:rPr>
      </w:pPr>
      <w:r>
        <w:rPr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auto"/>
          <w:lang w:val="ru-RU" w:eastAsia="en-US"/>
        </w:rPr>
        <w:t xml:space="preserve">«Отказ от Договора» – односторонний внесудебный отказ от исполнения Договора, совершенный Стороной в соответствии со статьей 450.1 Гражданского кодекса РФ (далее – ГК РФ) в случаях, установленных Договором.  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70"/>
        <w:keepNext w:val="false"/>
        <w:pBdr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 w:after="0" w:before="0"/>
        <w:ind w:firstLine="567"/>
        <w:jc w:val="both"/>
        <w:rPr>
          <w:highlight w:val="none"/>
          <w:shd w:val="clear" w:color="auto" w:fill="auto"/>
        </w:rPr>
      </w:pPr>
      <w:r>
        <w:rPr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auto"/>
          <w:lang w:val="ru-RU" w:eastAsia="en-US"/>
        </w:rPr>
        <w:t xml:space="preserve">«Применимое право»</w:t>
      </w:r>
      <w:r>
        <w:rPr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auto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</w:t>
      </w:r>
      <w:r>
        <w:rPr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auto"/>
          <w:lang w:val="ru-RU" w:eastAsia="en-US"/>
        </w:rPr>
        <w:t xml:space="preserve">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Услугам.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70"/>
        <w:keepNext w:val="false"/>
        <w:pBdr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 w:after="0" w:before="0"/>
        <w:ind w:firstLine="567"/>
        <w:jc w:val="both"/>
        <w:rPr>
          <w:highlight w:val="none"/>
          <w:shd w:val="clear" w:color="auto" w:fill="auto"/>
        </w:rPr>
      </w:pPr>
      <w:r>
        <w:rPr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auto"/>
          <w:lang w:val="ru-RU" w:eastAsia="en-US"/>
        </w:rPr>
        <w:t xml:space="preserve">«Рабочий день» – день, который в соответствии с Применимым правом, является рабочим днем в Российской Федерации.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70"/>
        <w:keepNext w:val="false"/>
        <w:pBdr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 w:after="0" w:before="0"/>
        <w:ind w:firstLine="567"/>
        <w:jc w:val="both"/>
        <w:rPr>
          <w:highlight w:val="white"/>
          <w:shd w:val="clear" w:color="auto" w:fill="auto"/>
        </w:rPr>
      </w:pPr>
      <w:r>
        <w:rPr>
          <w:rFonts w:ascii="Times New Roman" w:hAnsi="Times New Roman"/>
          <w:b w:val="0"/>
          <w:bCs w:val="0"/>
          <w:color w:val="000000"/>
          <w:sz w:val="20"/>
          <w:szCs w:val="20"/>
          <w:highlight w:val="white"/>
          <w:shd w:val="clear" w:color="auto" w:fill="auto"/>
          <w:lang w:val="ru-RU" w:eastAsia="en-US"/>
        </w:rPr>
        <w:t xml:space="preserve">«Субъект МСП» – субъект малого и среднего предпринимательства.</w:t>
      </w:r>
      <w:r>
        <w:rPr>
          <w:highlight w:val="white"/>
          <w:shd w:val="clear" w:color="auto" w:fill="auto"/>
        </w:rPr>
      </w:r>
      <w:r>
        <w:rPr>
          <w:highlight w:val="white"/>
          <w:shd w:val="clear" w:color="auto" w:fill="auto"/>
        </w:rPr>
      </w:r>
    </w:p>
    <w:p>
      <w:pPr>
        <w:pStyle w:val="770"/>
        <w:keepNext w:val="false"/>
        <w:pBdr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 w:after="0" w:before="0"/>
        <w:ind w:firstLine="567"/>
        <w:jc w:val="both"/>
        <w:rPr>
          <w:highlight w:val="white"/>
        </w:rPr>
      </w:pPr>
      <w:r>
        <w:rPr>
          <w:highlight w:val="white"/>
        </w:rPr>
      </w:r>
      <w:r>
        <w:rPr>
          <w:rFonts w:ascii="Times New Roman" w:hAnsi="Times New Roman"/>
          <w:b w:val="0"/>
          <w:bCs w:val="0"/>
          <w:color w:val="000000"/>
          <w:sz w:val="20"/>
          <w:szCs w:val="20"/>
          <w:highlight w:val="white"/>
          <w:shd w:val="clear" w:color="auto" w:fill="auto"/>
          <w:lang w:val="ru-RU" w:eastAsia="en-US"/>
        </w:rPr>
        <w:t xml:space="preserve">«УПД» - </w:t>
      </w:r>
      <w:r>
        <w:rPr>
          <w:rFonts w:ascii="Times New Roman" w:hAnsi="Times New Roman"/>
          <w:b w:val="0"/>
          <w:bCs w:val="0"/>
          <w:color w:val="000000"/>
          <w:sz w:val="20"/>
          <w:szCs w:val="20"/>
          <w:highlight w:val="white"/>
          <w:shd w:val="clear" w:color="auto" w:fill="auto"/>
          <w:lang w:val="ru-RU" w:eastAsia="en-US"/>
        </w:rPr>
        <w:t xml:space="preserve">Универсальный передаточный документ (УПД)» – форма документа, рекомендованная для применения письмом ФНС России от 21.10.2013 </w:t>
      </w:r>
      <w:r>
        <w:rPr>
          <w:rFonts w:ascii="Times New Roman" w:hAnsi="Times New Roman"/>
          <w:b w:val="0"/>
          <w:bCs w:val="0"/>
          <w:color w:val="000000"/>
          <w:sz w:val="20"/>
          <w:szCs w:val="20"/>
          <w:highlight w:val="white"/>
          <w:shd w:val="clear" w:color="auto" w:fill="auto"/>
          <w:lang w:val="ru-RU" w:eastAsia="en-US"/>
        </w:rPr>
        <w:t xml:space="preserve">№ ММВ-20-3/96@ (объединяет реквизиты счета-фактуры и первичного документа о передаче товаров, работ, услуг).</w:t>
      </w:r>
      <w:r>
        <w:rPr>
          <w:highlight w:val="white"/>
        </w:rPr>
      </w:r>
      <w:r>
        <w:rPr>
          <w:highlight w:val="white"/>
        </w:rPr>
      </w:r>
    </w:p>
    <w:p>
      <w:pPr>
        <w:pStyle w:val="770"/>
        <w:keepNext w:val="false"/>
        <w:pBdr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 w:after="0" w:before="0"/>
        <w:ind w:firstLine="567"/>
        <w:jc w:val="both"/>
        <w:rPr>
          <w:highlight w:val="none"/>
          <w:shd w:val="clear" w:color="auto" w:fill="auto"/>
        </w:rPr>
      </w:pPr>
      <w:r>
        <w:rPr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auto"/>
          <w:lang w:val="ru-RU" w:eastAsia="en-US"/>
        </w:rPr>
        <w:t xml:space="preserve">«Цена Договора» – определяемая в соответствии с разделом 3 Дог</w:t>
      </w:r>
      <w:r>
        <w:rPr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auto"/>
          <w:lang w:val="ru-RU" w:eastAsia="en-US"/>
        </w:rPr>
        <w:t xml:space="preserve">овора сумма, которую Заказчик обязуется уплатить Исполнителю в порядке и на условиях, установленных Договором, включающая компенсацию всех издержек Исполнителя и причитающееся ему вознаграждение, а также инфляционные риски на весь период действия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2"/>
        <w:pBdr/>
        <w:tabs>
          <w:tab w:val="left" w:leader="none" w:pos="567"/>
          <w:tab w:val="clear" w:leader="none" w:pos="708"/>
          <w:tab w:val="left" w:leader="none" w:pos="851"/>
        </w:tabs>
        <w:spacing w:after="0" w:before="0"/>
        <w:ind w:firstLine="567"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62"/>
        <w:pBdr/>
        <w:tabs>
          <w:tab w:val="left" w:leader="none" w:pos="567"/>
          <w:tab w:val="clear" w:leader="none" w:pos="708"/>
          <w:tab w:val="left" w:leader="none" w:pos="851"/>
        </w:tabs>
        <w:spacing w:after="0" w:before="0"/>
        <w:ind w:firstLine="567"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62"/>
        <w:pBdr/>
        <w:tabs>
          <w:tab w:val="left" w:leader="none" w:pos="567"/>
          <w:tab w:val="clear" w:leader="none" w:pos="708"/>
          <w:tab w:val="left" w:leader="none" w:pos="851"/>
        </w:tabs>
        <w:spacing w:after="0" w:before="0"/>
        <w:ind w:firstLine="567"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65"/>
        <w:numPr>
          <w:ilvl w:val="0"/>
          <w:numId w:val="2"/>
        </w:numPr>
        <w:pBdr/>
        <w:shd w:val="clear" w:color="auto" w:fill="ffffff"/>
        <w:tabs>
          <w:tab w:val="left" w:leader="none" w:pos="284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</w:rPr>
        <w:t xml:space="preserve">Предмет Договора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2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Исполнитель обязуется по заданию Заказчика оказать услуги по сервисному обслуживанию основного производственного оборудования (далее – «Услуги»), указанных в Приложении №1 «Регламентные работы по сервисному обслуживанию оборудов</w:t>
      </w:r>
      <w:r>
        <w:rPr>
          <w:sz w:val="20"/>
          <w:szCs w:val="20"/>
          <w:shd w:val="clear" w:color="auto" w:fill="auto"/>
        </w:rPr>
        <w:t xml:space="preserve">ания в газомикротурбинной тепловой электростанции (ГМТЭС) с. Кальвица, с.Ситта»  к Договору (далее – «Объекты»), а Заказчик обязуется создать Исполнителю указанные в Договоре условия для оказания Услуг и оплатить Услуги в соответствии с условиями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2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Результаты Услуг должны обеспечить следующие Показатели качества Услуг: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51"/>
        <w:numPr>
          <w:ilvl w:val="0"/>
          <w:numId w:val="19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/>
        <w:jc w:val="both"/>
        <w:rPr>
          <w:highlight w:val="none"/>
          <w:shd w:val="clear" w:color="auto" w:fill="auto"/>
        </w:rPr>
      </w:pPr>
      <w:r>
        <w:rPr>
          <w:shd w:val="clear" w:color="auto" w:fill="auto"/>
        </w:rPr>
        <w:t xml:space="preserve">исправное состояние Объектов;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51"/>
        <w:numPr>
          <w:ilvl w:val="0"/>
          <w:numId w:val="19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/>
        <w:jc w:val="both"/>
        <w:rPr>
          <w:highlight w:val="none"/>
          <w:shd w:val="clear" w:color="auto" w:fill="auto"/>
        </w:rPr>
      </w:pPr>
      <w:r>
        <w:rPr>
          <w:shd w:val="clear" w:color="auto" w:fill="auto"/>
        </w:rPr>
        <w:t xml:space="preserve">надежное, безопасное и бесперебойное функционирование Объектов;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51"/>
        <w:numPr>
          <w:ilvl w:val="0"/>
          <w:numId w:val="19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right="0" w:firstLine="850" w:left="0"/>
        <w:jc w:val="both"/>
        <w:rPr>
          <w:highlight w:val="none"/>
          <w:shd w:val="clear" w:color="auto" w:fill="auto"/>
        </w:rPr>
      </w:pPr>
      <w:r>
        <w:rPr>
          <w:shd w:val="clear" w:color="auto" w:fill="auto"/>
        </w:rPr>
        <w:t xml:space="preserve">соответствие сервисного состояния Объектов</w:t>
      </w:r>
      <w:r>
        <w:rPr>
          <w:shd w:val="clear" w:color="auto" w:fill="auto"/>
        </w:rPr>
        <w:t xml:space="preserve"> нормам, правилам, нормативам, стандартам, регламентам, установленным нормативными правовыми актами, нормативными техническими документами Российской Федерации (далее – «Установленные требования»), а также Техническому заданию (Приложение № 1 к Договору).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2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 ходе оказания Услуг </w:t>
      </w:r>
      <w:r>
        <w:rPr>
          <w:sz w:val="20"/>
          <w:szCs w:val="20"/>
          <w:shd w:val="clear" w:color="auto" w:fill="auto"/>
        </w:rPr>
        <w:t xml:space="preserve">Исполнитель обязан обеспечить выполнение всех требований и рекомендаций к обслуживанию Объектов (оборудования в их составе), изложенных в Установленных требованиях, Технических требованиях, а также имеющейся у Заказчика и переданной им Исполнителю документ</w:t>
      </w:r>
      <w:r>
        <w:rPr>
          <w:sz w:val="20"/>
          <w:szCs w:val="20"/>
          <w:shd w:val="clear" w:color="auto" w:fill="auto"/>
        </w:rPr>
        <w:t xml:space="preserve">ации изготовителей (производителей), иных требований изготовителей (производителей) соответствующего оборудования, предъявляемых к порядку его сервисного обслуживания, а также письменных указаний Заказчика, выданных в соответствии с пунктом 2.2.8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2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На дату заключения Договора Объекты находятся в процессе эксплуатации. Состояние Объектов изучено Исполнителем и не является основанием для увеличения Цены Договора.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numPr>
          <w:ilvl w:val="1"/>
          <w:numId w:val="2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Услуги по Договору оказываются для нужд:   __АО «Сахаэнерго» ______.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numPr>
          <w:ilvl w:val="1"/>
          <w:numId w:val="2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Место оказания Услуг: __ГМТЭС с. Ситта, с. Кальвица Кобяйского улуса Республики Саха (Якутия _.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2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Услуги оказываются Исполнителем в следующие сроки: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numPr>
          <w:ilvl w:val="2"/>
          <w:numId w:val="2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Начало</w:t>
      </w:r>
      <w:r>
        <w:rPr>
          <w:bCs/>
          <w:sz w:val="20"/>
          <w:szCs w:val="20"/>
          <w:shd w:val="clear" w:color="auto" w:fill="auto"/>
          <w:lang w:val="ru-RU"/>
        </w:rPr>
        <w:t xml:space="preserve">:</w:t>
      </w:r>
      <w:r>
        <w:rPr>
          <w:bCs/>
          <w:sz w:val="20"/>
          <w:szCs w:val="20"/>
          <w:shd w:val="clear" w:color="auto" w:fill="auto"/>
        </w:rPr>
        <w:t xml:space="preserve"> c даты подписания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numPr>
          <w:ilvl w:val="2"/>
          <w:numId w:val="2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Окончание</w:t>
      </w:r>
      <w:r>
        <w:rPr>
          <w:bCs/>
          <w:sz w:val="20"/>
          <w:szCs w:val="20"/>
          <w:shd w:val="clear" w:color="auto" w:fill="auto"/>
          <w:lang w:val="ru-RU"/>
        </w:rPr>
        <w:t xml:space="preserve">: </w:t>
      </w:r>
      <w:r>
        <w:rPr>
          <w:bCs/>
          <w:sz w:val="20"/>
          <w:szCs w:val="20"/>
          <w:shd w:val="clear" w:color="auto" w:fill="auto"/>
        </w:rPr>
        <w:t xml:space="preserve"> 15.06.2027 года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numPr>
          <w:ilvl w:val="1"/>
          <w:numId w:val="2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right="0" w:firstLine="0" w:left="567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Оказание Услуг (работ)  осуществляется в соответствии с </w:t>
      </w:r>
      <w:r>
        <w:rPr>
          <w:bCs/>
          <w:sz w:val="20"/>
          <w:szCs w:val="20"/>
          <w:shd w:val="clear" w:color="auto" w:fill="auto"/>
        </w:rPr>
        <w:t xml:space="preserve"> (Приложение №1)</w:t>
      </w:r>
      <w:r>
        <w:rPr>
          <w:sz w:val="20"/>
          <w:szCs w:val="20"/>
          <w:shd w:val="clear" w:color="auto" w:fill="auto"/>
        </w:rPr>
        <w:t xml:space="preserve">, утвержденного Заказчиком и согласованного Исполнителем (после заключения договора)</w:t>
      </w:r>
      <w:r>
        <w:rPr>
          <w:bCs/>
          <w:sz w:val="20"/>
          <w:szCs w:val="20"/>
          <w:shd w:val="clear" w:color="auto" w:fill="auto"/>
        </w:rPr>
        <w:t xml:space="preserve">, которые </w:t>
      </w:r>
      <w:r>
        <w:rPr>
          <w:sz w:val="20"/>
          <w:szCs w:val="20"/>
          <w:shd w:val="clear" w:color="auto" w:fill="auto"/>
        </w:rPr>
        <w:t xml:space="preserve">могут быть изменены в соответствии с ежегодными и месячными плановыми графиками ремонтов оборудования и согласованными диспетчерскими заявками.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left" w:leader="none" w:pos="567"/>
          <w:tab w:val="clear" w:leader="none" w:pos="708"/>
          <w:tab w:val="left" w:leader="none" w:pos="851"/>
        </w:tabs>
        <w:spacing/>
        <w:ind w:firstLine="567"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65"/>
        <w:pBdr/>
        <w:shd w:val="clear" w:color="auto" w:fill="ffffff"/>
        <w:tabs>
          <w:tab w:val="left" w:leader="none" w:pos="284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</w:rPr>
        <w:t xml:space="preserve">2. Права и обязанности Сторон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left"/>
        <w:rPr>
          <w:highlight w:val="none"/>
          <w:shd w:val="clear" w:color="auto" w:fill="auto"/>
        </w:rPr>
      </w:pPr>
      <w:r>
        <w:rPr>
          <w:b/>
          <w:bCs/>
          <w:sz w:val="20"/>
          <w:szCs w:val="20"/>
          <w:u w:val="none"/>
          <w:shd w:val="clear" w:color="auto" w:fill="auto"/>
        </w:rPr>
        <w:t xml:space="preserve">    </w:t>
      </w:r>
      <w:r>
        <w:rPr>
          <w:b/>
          <w:bCs/>
          <w:sz w:val="20"/>
          <w:szCs w:val="20"/>
          <w:u w:val="none"/>
          <w:shd w:val="clear" w:color="auto" w:fill="auto"/>
        </w:rPr>
        <w:tab/>
        <w:t xml:space="preserve">2.1. Заказчик обязан: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ab/>
        <w:t xml:space="preserve">2.1.1. 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оказанием Услуг</w:t>
      </w:r>
      <w:r>
        <w:rPr>
          <w:sz w:val="20"/>
          <w:szCs w:val="20"/>
          <w:shd w:val="clear" w:color="auto" w:fill="auto"/>
        </w:rPr>
        <w:t xml:space="preserve">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2.1.2. </w:t>
      </w:r>
      <w:bookmarkStart w:id="2" w:name="_Ref361334549"/>
      <w:r/>
      <w:bookmarkEnd w:id="2"/>
      <w:r>
        <w:rPr>
          <w:sz w:val="20"/>
          <w:szCs w:val="20"/>
          <w:shd w:val="clear" w:color="auto" w:fill="auto"/>
          <w:lang w:val="ru-RU"/>
        </w:rPr>
        <w:t xml:space="preserve">При наличии технической возможности обеспечить Исполнителю возможность подключения к имеющимся у Заказчика бытовым источникам электроснабжения, водоснабжения, канализации для целей оказания Услуг по Договору.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ab/>
        <w:t xml:space="preserve">2.1.3. </w:t>
      </w:r>
      <w:bookmarkStart w:id="3" w:name="_Ref361334549_Копия_1"/>
      <w:r/>
      <w:bookmarkEnd w:id="3"/>
      <w:r>
        <w:rPr>
          <w:sz w:val="20"/>
          <w:szCs w:val="20"/>
          <w:shd w:val="clear" w:color="auto" w:fill="auto"/>
        </w:rPr>
        <w:t xml:space="preserve">Ознакомить Исполнителя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2.1.4. Оплатить оказанные Исполнителем Услуги на условиях, по цене и в сроки, предусмотренные Договором.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2.1.5. В течение 5 (пяти) рабочих дней с даты заключения Договора предоставить Исполнителю сведения о запланированных перерывах в эксплуатации Объектов в связи с реализацией производственных программ Заказчика. В случае изменения запланиро</w:t>
      </w:r>
      <w:r>
        <w:rPr>
          <w:sz w:val="20"/>
          <w:szCs w:val="20"/>
          <w:shd w:val="clear" w:color="auto" w:fill="auto"/>
        </w:rPr>
        <w:t xml:space="preserve">ванных сроков и / или отклонения фактических сроков перерыва в эксплуатации Объектов от запланированных, письменно уведомить об этом Исполнителя не позднее 3 (трех) рабочих дней со дня изменения запланированного срока и / или отклонения фактического срока.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2.1.6. Указать Исполнителю места накопления отходов.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ab/>
        <w:t xml:space="preserve">2.1.7. Выполнять иные обязанности, предусмотренные Договором.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ab/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b/>
          <w:bCs/>
          <w:sz w:val="20"/>
          <w:szCs w:val="20"/>
          <w:u w:val="none"/>
          <w:shd w:val="clear" w:color="auto" w:fill="auto"/>
        </w:rPr>
        <w:tab/>
        <w:t xml:space="preserve">2.2. Заказчик имеет право: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2.2.1. </w:t>
      </w:r>
      <w:bookmarkStart w:id="4" w:name="_Ref361334602"/>
      <w:r>
        <w:rPr>
          <w:bCs/>
          <w:sz w:val="20"/>
          <w:szCs w:val="20"/>
          <w:shd w:val="clear" w:color="auto" w:fill="auto"/>
        </w:rPr>
        <w:t xml:space="preserve">Самостоятельно или с привлечением третьих лиц осуществлять контроль и надзор за ходом и </w:t>
      </w:r>
      <w:r>
        <w:rPr>
          <w:bCs/>
          <w:sz w:val="20"/>
          <w:szCs w:val="20"/>
          <w:shd w:val="clear" w:color="auto" w:fill="auto"/>
        </w:rPr>
        <w:t xml:space="preserve">качеством оказываемых Исполнителем по Договору Услуг, соблюдением сроков их оказания, не вмешиваясь при этом в их оперативно-хозяйственную деятельность. Проведение Заказчиком контроля не снимает с Исполнителя ответственности за ненадлежащее оказание Услуг.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Предоставить Исполнителю</w:t>
      </w:r>
      <w:r>
        <w:rPr>
          <w:sz w:val="20"/>
          <w:szCs w:val="20"/>
          <w:shd w:val="clear" w:color="auto" w:fill="auto"/>
        </w:rPr>
        <w:t xml:space="preserve"> по отдельному договору и / или на основании соответствующего акта помещение для размещения персонала Исполнителя. В случае, если предоставленное Заказчиком помещение не соответствует требованиям Исполнителя, последний по письменному согласованию с Заказчи</w:t>
      </w:r>
      <w:r>
        <w:rPr>
          <w:sz w:val="20"/>
          <w:szCs w:val="20"/>
          <w:shd w:val="clear" w:color="auto" w:fill="auto"/>
        </w:rPr>
        <w:t xml:space="preserve">ком оборудует его на время оказания Услуг собственными силами, за свой счет и из своих материалов. Возмещение стоимости неотделимых улучшений помещений, произведенных Исполнителем, включено в стоимость Услуг по Договору и не подлежит дополнительной оплате.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Круглосуточно осуществлять доступ к Месту оказания Услуг.</w:t>
      </w:r>
      <w:r>
        <w:rPr>
          <w:sz w:val="20"/>
          <w:szCs w:val="20"/>
          <w:shd w:val="clear" w:color="auto" w:fill="auto"/>
        </w:rPr>
        <w:t xml:space="preserve"> В случае предоставления Исполнителю отдельного помещения для Материально-технических ресурсов и / или размещения персонала Исполнителя, осуществлять осмотр такого помещения по первому требованию о таком осмотре и в присутствии представителя Исполнителя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/>
      <w:bookmarkEnd w:id="4"/>
      <w:r>
        <w:rPr>
          <w:sz w:val="20"/>
          <w:szCs w:val="20"/>
          <w:shd w:val="clear" w:color="auto" w:fill="auto"/>
        </w:rPr>
        <w:t xml:space="preserve">Приостанавливать осуществ</w:t>
      </w:r>
      <w:r>
        <w:rPr>
          <w:sz w:val="20"/>
          <w:szCs w:val="20"/>
          <w:shd w:val="clear" w:color="auto" w:fill="auto"/>
        </w:rPr>
        <w:t xml:space="preserve">ление любых платежей (независимо от наличия оснований и наступления сроков таких платежей) и оказание Услуг по Договору в отношении всех или отдельных Объектов путем направления Исполнителю соответствующего письменного требования с указанием причин приоста</w:t>
      </w:r>
      <w:r>
        <w:rPr>
          <w:sz w:val="20"/>
          <w:szCs w:val="20"/>
          <w:shd w:val="clear" w:color="auto" w:fill="auto"/>
        </w:rPr>
        <w:t xml:space="preserve">новления при обнаружении отступлений от условий Договора, в том числе нарушений сроков и / или качества оказания Услуг, Технических требований, Установленных требований, требований изготовителей (производителей) соответствующего оборудования, предъявляемых</w:t>
      </w:r>
      <w:r>
        <w:rPr>
          <w:sz w:val="20"/>
          <w:szCs w:val="20"/>
          <w:shd w:val="clear" w:color="auto" w:fill="auto"/>
        </w:rPr>
        <w:t xml:space="preserve"> к порядку его сервисного обслуживания, Применимого права, до устранения таких нарушений или их последствий, устанавливать сроки устранения таких нарушений. Приостановка оказания Услуг не является основанием для продления сроков оказания Исполнителем Услуг</w:t>
      </w:r>
      <w:bookmarkStart w:id="5" w:name="_Ref361334468"/>
      <w:r>
        <w:rPr>
          <w:sz w:val="20"/>
          <w:szCs w:val="20"/>
          <w:shd w:val="clear" w:color="auto" w:fill="auto"/>
        </w:rPr>
        <w:t xml:space="preserve">, установленных Договором, и не влечет возникновения права Исполнителя на их оплату.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Изымать пропуска и не допускать на территорию Заказчика работников Исполнител</w:t>
      </w:r>
      <w:r>
        <w:rPr>
          <w:sz w:val="20"/>
          <w:szCs w:val="20"/>
          <w:shd w:val="clear" w:color="auto" w:fill="auto"/>
        </w:rPr>
        <w:t xml:space="preserve">я при выявлении нарушений такими работниками пропускного и внутриобъектового режима, требований охраны труда, промышленной и пожарной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5"/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/>
      <w:bookmarkStart w:id="6" w:name="_Ref361319348"/>
      <w:r>
        <w:rPr>
          <w:sz w:val="20"/>
          <w:szCs w:val="20"/>
          <w:shd w:val="clear" w:color="auto" w:fill="auto"/>
        </w:rPr>
        <w:t xml:space="preserve">Вносить изменения в Технические требования, за исключением изменений, свя</w:t>
      </w:r>
      <w:r>
        <w:rPr>
          <w:sz w:val="20"/>
          <w:szCs w:val="20"/>
          <w:shd w:val="clear" w:color="auto" w:fill="auto"/>
        </w:rPr>
        <w:t xml:space="preserve">занных с приемкой оказанных Услуг, при условии, если вызываемые этим дополнительные услуги не оказывают существенного влияния на стоимость Услуг по Договору и / или не меняют характера предусмотренных в Договоре Услуг таким образом, что выполнение указаний</w:t>
      </w:r>
      <w:r>
        <w:rPr>
          <w:sz w:val="20"/>
          <w:szCs w:val="20"/>
          <w:shd w:val="clear" w:color="auto" w:fill="auto"/>
        </w:rPr>
        <w:t xml:space="preserve"> Заказчика потребовало бы от Исполнителя получения отсутствующих у него допусков, разрешений и / или лицензий. В целях внесения соответствующих изменений Заказчик обязан направить Исполнителю письменное распоряжение, обязательное к выполнению Исполнителем.</w:t>
      </w:r>
      <w:bookmarkEnd w:id="6"/>
      <w:r>
        <w:rPr>
          <w:sz w:val="20"/>
          <w:szCs w:val="20"/>
          <w:shd w:val="clear" w:color="auto" w:fill="auto"/>
        </w:rPr>
        <w:t xml:space="preserve">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numPr>
          <w:ilvl w:val="2"/>
          <w:numId w:val="11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Давать Исполнителю указания о способе оказания Услуг, если такие указания не противоречат условиям Договора и не являются вмешательством в деятельность Исполнителя.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numPr>
          <w:ilvl w:val="2"/>
          <w:numId w:val="11"/>
        </w:numPr>
        <w:pBdr/>
        <w:tabs>
          <w:tab w:val="left" w:leader="none" w:pos="567"/>
          <w:tab w:val="clear" w:leader="none" w:pos="708"/>
          <w:tab w:val="left" w:leader="none" w:pos="85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Требовать от Исполнителя представления информации и пояснений о ходе оказания Услуг, в том числе об используемых для оказания Услуг Материально-технических ресурсов, о времени работ техники, оборудования и иных средств о</w:t>
      </w:r>
      <w:r>
        <w:rPr>
          <w:sz w:val="20"/>
          <w:szCs w:val="20"/>
          <w:shd w:val="clear" w:color="auto" w:fill="auto"/>
          <w:lang w:val="ru-RU"/>
        </w:rPr>
        <w:t xml:space="preserve">казания Услуг, выполнении иных условий Договора, требовать представления Заказчику документов, полученных Исполнителем в ходе выполнения своих обязательств по Договору, в том числе копий предписаний контролирующих и надзорных органов, выданных Исполнителю.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u w:val="single"/>
          <w:shd w:val="clear" w:color="auto" w:fill="auto"/>
        </w:rPr>
        <w:t xml:space="preserve">Исполнитель обязан</w:t>
      </w:r>
      <w:r>
        <w:rPr>
          <w:sz w:val="20"/>
          <w:szCs w:val="20"/>
          <w:shd w:val="clear" w:color="auto" w:fill="auto"/>
        </w:rPr>
        <w:t xml:space="preserve">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2.3.1. На свой риск, своими силами и средствами, с использованием своих материалов, оборудования и инструмента, а также Материально-технических ресурсов Заказчика, передаваемых согласно условиям Договора, оказать Услуги и сда</w:t>
      </w:r>
      <w:r>
        <w:rPr>
          <w:sz w:val="20"/>
          <w:szCs w:val="20"/>
          <w:shd w:val="clear" w:color="auto" w:fill="auto"/>
        </w:rPr>
        <w:t xml:space="preserve">ть их результат Заказчику в объеме и с качеством, соответствующим требованиям Договора и технического задания - регламентные работы по сервисному обслуживанию оборудованияв газомикротурбинной тепловой электростанции (ГМТЭС) с. Кальвица, с.Ситта (Приложение</w:t>
      </w:r>
      <w:r>
        <w:rPr>
          <w:sz w:val="20"/>
          <w:szCs w:val="20"/>
          <w:shd w:val="clear" w:color="auto" w:fill="auto"/>
        </w:rPr>
        <w:t xml:space="preserve"> №1 к Договору). Установленным требованиям, требованиям изготовителя (производителя) Объектов (оборудования, входящего в состав Объектов), в том числе по сохранению гарантийных обязательств, действующих норм и правил, законодательства Российской Федерации.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Выдать замечания по комплектности технической и иной документации, предоставленной Заказчиком, в течение 5</w:t>
      </w:r>
      <w:r>
        <w:rPr>
          <w:sz w:val="20"/>
          <w:szCs w:val="20"/>
          <w:shd w:val="clear" w:color="auto" w:fill="auto"/>
        </w:rPr>
        <w:t xml:space="preserve"> (пяти) рабочих дней с даты ее получения.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Оказывать Услуги в строгом </w:t>
      </w:r>
      <w:r>
        <w:rPr>
          <w:sz w:val="20"/>
          <w:szCs w:val="20"/>
          <w:shd w:val="clear" w:color="auto" w:fill="auto"/>
        </w:rPr>
        <w:t xml:space="preserve">соответствии с Договором, установленными требованиями, технической и иной документацией, переданной Заказчиком (в том числе документацией изготовителей (производителей) Объектов (оборудования в составе Объектов). В случае недостаточности переданной Заказчи</w:t>
      </w:r>
      <w:r>
        <w:rPr>
          <w:sz w:val="20"/>
          <w:szCs w:val="20"/>
          <w:shd w:val="clear" w:color="auto" w:fill="auto"/>
        </w:rPr>
        <w:t xml:space="preserve">ком технической документации для оказания Услуг самостоятельно запросить и получить такую документацию у изготовителей (производителей) Объектов (оборудования в их составе) и передать ее Заказчику в составе Отчета в соответствии с пунктом 2.3.16 Договора.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Обеспечить достижение Показателей качества Услуг.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Обеспечить сохранение гарантийных обязательств изготовителей (производителей) Объектов (оборудования в их составе).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До фактического начала оказания Услуг предоставить Заказчику: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12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контакты</w:t>
      </w:r>
      <w:r>
        <w:rPr>
          <w:bCs/>
          <w:sz w:val="20"/>
          <w:szCs w:val="20"/>
          <w:shd w:val="clear" w:color="auto" w:fill="auto"/>
        </w:rPr>
        <w:t xml:space="preserve"> и должность представителей Исполнителя, уполномоченных на оперативное рассмотрение и решение технических и организационных вопросов, связанных с оказанием Услуг;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12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контакты и должность представителя Исполнителя,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оказания Услуг.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Исполнитель обязан обеспечить присутствие указанного лица в месте оказания Услуг в течение всего срока их оказания.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white"/>
          <w:shd w:val="clear" w:color="auto" w:fill="auto"/>
        </w:rPr>
      </w:pPr>
      <w:r>
        <w:rPr>
          <w:sz w:val="20"/>
          <w:szCs w:val="20"/>
          <w:highlight w:val="white"/>
          <w:shd w:val="clear" w:color="auto" w:fill="auto"/>
        </w:rPr>
        <w:t xml:space="preserve">Обеспечить сохранность переданных Заказчиком</w:t>
      </w:r>
      <w:r>
        <w:rPr>
          <w:sz w:val="20"/>
          <w:szCs w:val="20"/>
          <w:highlight w:val="white"/>
          <w:shd w:val="clear" w:color="auto" w:fill="auto"/>
        </w:rPr>
        <w:t xml:space="preserve"> по Акту(-ам) сдачи-приемки помещений, технической и иной документации, а также возврат их Заказчику в первоначальном состоянии с учетом естественного износа и произведенных Исполнителем неотделимых улучшений согласно пункту 2.2.2 Договора не позднее даты </w:t>
      </w:r>
      <w:r>
        <w:rPr>
          <w:sz w:val="20"/>
          <w:szCs w:val="20"/>
          <w:highlight w:val="white"/>
          <w:shd w:val="clear" w:color="auto" w:fill="auto"/>
        </w:rPr>
        <w:t xml:space="preserve">окончания</w:t>
      </w:r>
      <w:r>
        <w:rPr>
          <w:sz w:val="20"/>
          <w:szCs w:val="20"/>
          <w:highlight w:val="white"/>
          <w:shd w:val="clear" w:color="auto" w:fill="auto"/>
        </w:rPr>
        <w:t xml:space="preserve"> срока оказания Услуг, указанного в пункте 1.7.2 Договора, либо, в случае, указанном в </w:t>
      </w:r>
      <w:r>
        <w:rPr>
          <w:bCs/>
          <w:sz w:val="20"/>
          <w:szCs w:val="20"/>
          <w:highlight w:val="white"/>
          <w:shd w:val="clear" w:color="auto" w:fill="auto"/>
        </w:rPr>
        <w:t xml:space="preserve">разделе </w:t>
      </w:r>
      <w:r>
        <w:rPr>
          <w:bCs/>
          <w:sz w:val="20"/>
          <w:szCs w:val="20"/>
          <w:highlight w:val="white"/>
          <w:shd w:val="clear" w:color="auto" w:fill="auto"/>
        </w:rPr>
        <w:t xml:space="preserve">12</w:t>
      </w:r>
      <w:r>
        <w:rPr>
          <w:bCs/>
          <w:sz w:val="20"/>
          <w:szCs w:val="20"/>
          <w:highlight w:val="white"/>
          <w:shd w:val="clear" w:color="auto" w:fill="auto"/>
        </w:rPr>
        <w:t xml:space="preserve"> Договора</w:t>
      </w:r>
      <w:r>
        <w:rPr>
          <w:sz w:val="20"/>
          <w:szCs w:val="20"/>
          <w:highlight w:val="white"/>
          <w:shd w:val="clear" w:color="auto" w:fill="auto"/>
        </w:rPr>
        <w:t xml:space="preserve">, – не позднее 3 (трех) рабочих дней с даты получения соответствующего требования Заказчика.</w:t>
      </w:r>
      <w:r>
        <w:rPr>
          <w:highlight w:val="white"/>
          <w:shd w:val="clear" w:color="auto" w:fill="auto"/>
        </w:rPr>
      </w:r>
      <w:r>
        <w:rPr>
          <w:highlight w:val="whit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Оказывать Услуги силами только квалифицированных специалистов, прошедших соответствующую подготовку, </w:t>
      </w:r>
      <w:r>
        <w:rPr>
          <w:bCs/>
          <w:sz w:val="20"/>
          <w:szCs w:val="20"/>
          <w:shd w:val="clear" w:color="auto" w:fill="auto"/>
        </w:rPr>
        <w:t xml:space="preserve">квалификация, опыт и компетенция которых позволяет обеспечить надлежащее и качественное оказание Услуг.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Обеспечить наличие допусков, разрешений и лицензий, необходимых для оказания Услуг.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Исполнитель обязан незамедлительно, но в любом случае не позднее рабочего дня, следующего за днем наступлением соответствующего обстоятельства, сообщать Заказчику об отзыве, прекращении, приостановлении действия, признании недействительными </w:t>
      </w:r>
      <w:r>
        <w:rPr>
          <w:sz w:val="20"/>
          <w:szCs w:val="20"/>
          <w:shd w:val="clear" w:color="auto" w:fill="auto"/>
        </w:rPr>
        <w:br w:type="textWrapping" w:clear="all"/>
      </w:r>
      <w:r>
        <w:rPr>
          <w:sz w:val="20"/>
          <w:szCs w:val="20"/>
          <w:shd w:val="clear" w:color="auto" w:fill="auto"/>
        </w:rPr>
        <w:t xml:space="preserve">или утрате по другим основаниям допусков, разрешений и лицензий, необходимых </w:t>
      </w:r>
      <w:r>
        <w:rPr>
          <w:sz w:val="20"/>
          <w:szCs w:val="20"/>
          <w:shd w:val="clear" w:color="auto" w:fill="auto"/>
        </w:rPr>
        <w:br w:type="textWrapping" w:clear="all"/>
      </w:r>
      <w:r>
        <w:rPr>
          <w:sz w:val="20"/>
          <w:szCs w:val="20"/>
          <w:shd w:val="clear" w:color="auto" w:fill="auto"/>
        </w:rPr>
        <w:t xml:space="preserve">для надлежащего исполнения Исполнителем своих обязательств по Договору, а также обеспечить получение соответствующих допусков, разрешений и лицензий в срок, обеспечивающий надлежащее исполнение им условий Договора.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Если в процессе оказания Услуг по Договору законом или иным нормативным актом будет установлена обязанность Исполнителя</w:t>
      </w:r>
      <w:r>
        <w:rPr>
          <w:sz w:val="20"/>
          <w:szCs w:val="20"/>
          <w:shd w:val="clear" w:color="auto" w:fill="auto"/>
        </w:rPr>
        <w:t xml:space="preserve"> получить дополнительные допуски, разрешения и / или лицензии, Исполнитель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Во избежание сомнений, принятие соответствующего закона или иного нормативного акта не будет рассматр</w:t>
      </w:r>
      <w:r>
        <w:rPr>
          <w:sz w:val="20"/>
          <w:szCs w:val="20"/>
          <w:shd w:val="clear" w:color="auto" w:fill="auto"/>
        </w:rPr>
        <w:t xml:space="preserve">иваться для целей Договора как обстоятельство непреодолимой силы (форс-мажор), указанное в п. 9.1 Договора, и Исполнитель не будет иметь права на продление сроков оказания Услуг или увеличение стоимости Услуг, если Сторонами письменно не согласовано иное.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оказании Услуг.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Провести инструктаж персонала, задействованного при оказании Услуг, обеспечить соблюдение (в том числе указан</w:t>
      </w:r>
      <w:r>
        <w:rPr>
          <w:sz w:val="20"/>
          <w:szCs w:val="20"/>
          <w:shd w:val="clear" w:color="auto" w:fill="auto"/>
        </w:rPr>
        <w:t xml:space="preserve">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Обеспечить выполнение всех необходимых мероприятий по </w:t>
      </w:r>
      <w:r>
        <w:rPr>
          <w:sz w:val="20"/>
          <w:szCs w:val="20"/>
          <w:shd w:val="clear" w:color="auto" w:fill="auto"/>
        </w:rPr>
        <w:t xml:space="preserve">охране труда, технике безопасности, пожарной и промышленной безопасности, охране окружающей среды пропускной и внутриобъектовый режим Заказчика в соответствии с законодательством Российской Федерации, локальными нормативными актами Заказчика и Исполнителя.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Обесп</w:t>
      </w:r>
      <w:r>
        <w:rPr>
          <w:bCs/>
          <w:sz w:val="20"/>
          <w:szCs w:val="20"/>
          <w:shd w:val="clear" w:color="auto" w:fill="auto"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  <w:sz w:val="20"/>
          <w:szCs w:val="20"/>
          <w:shd w:val="clear" w:color="auto" w:fill="auto"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 случае применения контролирующими органами штрафных санкций к Заказчику по фактам нарушения Исполнителем требований охраны труда, электробезопасно</w:t>
      </w:r>
      <w:r>
        <w:rPr>
          <w:sz w:val="20"/>
          <w:szCs w:val="20"/>
          <w:shd w:val="clear" w:color="auto" w:fill="auto"/>
        </w:rPr>
        <w:t xml:space="preserve">сти, пожарной и промышленной безопасности, природоохранного законодательства 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Предоставить Заказчику в полном </w:t>
      </w:r>
      <w:r>
        <w:rPr>
          <w:sz w:val="20"/>
          <w:szCs w:val="20"/>
          <w:shd w:val="clear" w:color="auto" w:fill="auto"/>
        </w:rPr>
        <w:t xml:space="preserve">объеме необходимую для приемки Услуг приемо-сдаточную документацию, в том числе Отчет об оказании Услуг, содержащий описание проведенных мероприятий и воздействий на Объекты (оборудование в их составе), с приложением исполнительной документации, в том числ</w:t>
      </w:r>
      <w:r>
        <w:rPr>
          <w:sz w:val="20"/>
          <w:szCs w:val="20"/>
          <w:shd w:val="clear" w:color="auto" w:fill="auto"/>
        </w:rPr>
        <w:t xml:space="preserve">е сертификатов, инструкций, паспортов и других документов, удостоверяющих качество использованных Материально-технических ресурсов, журналов производства работ / оказания услуг и другой документации, предусмотренной законодательством Российской Федерации.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/>
      <w:bookmarkStart w:id="7" w:name="_Ref361336780"/>
      <w:r>
        <w:rPr>
          <w:sz w:val="20"/>
          <w:szCs w:val="20"/>
          <w:shd w:val="clear" w:color="auto" w:fill="auto"/>
        </w:rPr>
        <w:t xml:space="preserve">Отчет и содержащаяся в его составе исполнительная документация должна обеспечивать достоверность и полноту сведений о фактически оказанных Услугах.</w:t>
      </w:r>
      <w:bookmarkEnd w:id="7"/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numPr>
          <w:ilvl w:val="2"/>
          <w:numId w:val="11"/>
        </w:numPr>
        <w:pBdr/>
        <w:tabs>
          <w:tab w:val="left" w:leader="none" w:pos="567"/>
          <w:tab w:val="clear" w:leader="none" w:pos="708"/>
          <w:tab w:val="left" w:leader="none" w:pos="85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Обеспечить доставку, приемку, разгрузку, складирование и хранение прибывающих на место оказания Услуг Материально-технических ресурсов и оборудования, необходимых для оказания Услуг.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Организовать контроль качества поступающих Материал</w:t>
      </w:r>
      <w:r>
        <w:rPr>
          <w:sz w:val="20"/>
          <w:szCs w:val="20"/>
          <w:shd w:val="clear" w:color="auto" w:fill="auto"/>
        </w:rPr>
        <w:t xml:space="preserve">ьно-технических ресурсов и оборудования, обеспечить наличие соответствующих сертификатов, технических паспортов и других документов, удостоверяющих качество используемых Исполнителем Материально-технических ресурсов и оборудования, в месте оказания Услуг.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Копии таких сертификатов, технических паспортов и иных</w:t>
      </w:r>
      <w:r>
        <w:rPr>
          <w:sz w:val="20"/>
          <w:szCs w:val="20"/>
          <w:shd w:val="clear" w:color="auto" w:fill="auto"/>
        </w:rPr>
        <w:t xml:space="preserve"> документов должны быть предоставлены Заказчику до начала оказания Услуг, выполняемых с использованием соответствующих Материально-технических ресурсов, а также в оригиналах или надлежащим образом заверенных копиях – в составе исполнительной документации.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Исполнитель обязуется пись</w:t>
      </w:r>
      <w:r>
        <w:rPr>
          <w:sz w:val="20"/>
          <w:szCs w:val="20"/>
          <w:shd w:val="clear" w:color="auto" w:fill="auto"/>
        </w:rPr>
        <w:t xml:space="preserve">менно согласовать с Заказчиком и / или производителем (изготовителем) оборудования в составе Объектов планируемые к использованию Материально-технические ресурсы и оборудование до начала оказания Услуг в случае, если они не соответствуют условиям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Обеспечивать в месте оказания Услуг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color w:val="000000" w:themeColor="text1"/>
          <w:sz w:val="20"/>
          <w:szCs w:val="20"/>
          <w:shd w:val="clear" w:color="auto" w:fill="auto"/>
        </w:rPr>
        <w:t xml:space="preserve">Выполнять полученные в ходе исполнения Договора указания Заказчика, если такие указания не противоречат условиям Договора и не представляют собой вмешательства в деятельность Исполнителя.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/>
        <w:jc w:val="both"/>
        <w:rPr>
          <w:highlight w:val="none"/>
          <w:shd w:val="clear" w:color="auto" w:fill="auto"/>
        </w:rPr>
      </w:pPr>
      <w:r>
        <w:rPr>
          <w:bCs/>
          <w:color w:val="000000" w:themeColor="text1"/>
          <w:sz w:val="20"/>
          <w:szCs w:val="20"/>
          <w:shd w:val="clear" w:color="auto" w:fill="auto"/>
          <w:lang w:val="ru-RU"/>
        </w:rPr>
        <w:t xml:space="preserve">В случае если такие указания могут привести к увеличению Цены Договора и (или) сроков оказания Услуг, Исполнитель </w:t>
      </w:r>
      <w:r>
        <w:rPr>
          <w:bCs/>
          <w:color w:val="000000" w:themeColor="text1"/>
          <w:sz w:val="20"/>
          <w:szCs w:val="20"/>
          <w:shd w:val="clear" w:color="auto" w:fill="auto"/>
          <w:lang w:val="ru-RU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color w:val="000000" w:themeColor="text1"/>
          <w:sz w:val="20"/>
          <w:szCs w:val="20"/>
          <w:shd w:val="clear" w:color="auto" w:fill="auto"/>
        </w:rPr>
        <w:t xml:space="preserve">Исполнитель не несет ответств</w:t>
      </w:r>
      <w:r>
        <w:rPr>
          <w:color w:val="000000" w:themeColor="text1"/>
          <w:sz w:val="20"/>
          <w:szCs w:val="20"/>
          <w:shd w:val="clear" w:color="auto" w:fill="auto"/>
        </w:rPr>
        <w:t xml:space="preserve">енности за возможные убытки, возникшие в результате исполнения указаний Заказчика,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2.3.20.1 Договора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color w:val="000000" w:themeColor="text1"/>
          <w:sz w:val="20"/>
          <w:szCs w:val="20"/>
          <w:shd w:val="clear" w:color="auto" w:fill="auto"/>
        </w:rPr>
        <w:t xml:space="preserve">Исполнитель не вправе отказаться от выполнения или задержать выполнение указаний Заказчика в части сокращения объемов оказываемых Услуг, прекращения и / или исключения отдельных видов Услуг, кроме случая, указанного в пункте 2.3.20.1 Договора.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/>
      <w:bookmarkStart w:id="8" w:name="_Ref361334822"/>
      <w:r>
        <w:rPr>
          <w:sz w:val="20"/>
          <w:szCs w:val="20"/>
          <w:shd w:val="clear" w:color="auto" w:fill="auto"/>
        </w:rPr>
        <w:t xml:space="preserve">Немедленно в письменном виде известить Заказчика и до получения от него указаний приостановить оказание Услуг при обнаружении:</w:t>
      </w:r>
      <w:bookmarkEnd w:id="8"/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3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701"/>
        </w:tabs>
        <w:spacing/>
        <w:ind w:firstLine="567" w:left="0"/>
        <w:jc w:val="both"/>
        <w:rPr>
          <w:highlight w:val="none"/>
          <w:shd w:val="clear" w:color="auto" w:fill="auto"/>
        </w:rPr>
      </w:pPr>
      <w:r/>
      <w:bookmarkStart w:id="9" w:name="_Ref361334793"/>
      <w:r>
        <w:rPr>
          <w:sz w:val="20"/>
          <w:szCs w:val="20"/>
          <w:shd w:val="clear" w:color="auto" w:fill="auto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</w:t>
      </w:r>
      <w:bookmarkEnd w:id="9"/>
      <w:r>
        <w:rPr>
          <w:sz w:val="20"/>
          <w:szCs w:val="20"/>
          <w:shd w:val="clear" w:color="auto" w:fill="auto"/>
        </w:rPr>
        <w:t xml:space="preserve">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3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70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3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70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любых</w:t>
      </w:r>
      <w:r>
        <w:rPr>
          <w:sz w:val="20"/>
          <w:szCs w:val="20"/>
          <w:shd w:val="clear" w:color="auto" w:fill="auto"/>
        </w:rPr>
        <w:t xml:space="preserve"> обстоятельствах, угрожающих годности, прочности и / или безопасности Объектов (оборудования в их составе) либо создающих невозможность оказания Услуг в срок, предусмотренный Договором – в любом случае не позднее следующего рабочего дня после обнаружения;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Невыполнение Исполнителем требований пункта 2.3.20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По требованию и в сроки, установленные Заказчиком, своими силами, средствами и за свой счет устранять недостатки и дефекты, нарушения Т</w:t>
      </w:r>
      <w:r>
        <w:rPr>
          <w:sz w:val="20"/>
          <w:szCs w:val="20"/>
          <w:shd w:val="clear" w:color="auto" w:fill="auto"/>
        </w:rPr>
        <w:t xml:space="preserve">ехнических требований и иных условий Договора, возникшие по вине Исполнителя или по обстоятельствам, за которые отвечает Исполнитель и выявленные в процессе оказания Услуг, при приемке оказанных Услуг, а также осуществлять доработки, связанные с несогласов</w:t>
      </w:r>
      <w:r>
        <w:rPr>
          <w:sz w:val="20"/>
          <w:szCs w:val="20"/>
          <w:shd w:val="clear" w:color="auto" w:fill="auto"/>
        </w:rPr>
        <w:t xml:space="preserve">анными с Заказчиком отступлениями от требований Договора. Компенсировать расходы Заказчика на устранение своими силами или силами третьих лиц недостатков оказанных Услуг, в случае, если Исполнитель не устраняет недостатки в установленные Заказчиком сроки.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Незамедлительно и за собственный счет устранять любые предаварийные ситуации, аварии (обстоятельства, создающие их), повреждения Объектов вследствие аварий, возникшие по вине Исполнителя или по обстоятельствам, за которые отвечает Исполнитель.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оказанием Услуг, а также компенсировать любой ущерб, связанный с причинением Исполнителем вреда жизни ил</w:t>
      </w:r>
      <w:r>
        <w:rPr>
          <w:sz w:val="20"/>
          <w:szCs w:val="20"/>
          <w:shd w:val="clear" w:color="auto" w:fill="auto"/>
        </w:rPr>
        <w:t xml:space="preserve">и здоровью людей, имуществу Заказчика или третьих лиц, окружающей среде, без какого-либо ограничения размера такого возмещения, 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z w:val="20"/>
          <w:szCs w:val="20"/>
          <w:shd w:val="clear" w:color="auto" w:fill="auto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z w:val="20"/>
          <w:szCs w:val="20"/>
          <w:shd w:val="clear" w:color="auto" w:fill="auto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оказанных Услуг, </w:t>
      </w:r>
      <w:r>
        <w:rPr>
          <w:bCs/>
          <w:sz w:val="20"/>
          <w:szCs w:val="20"/>
          <w:shd w:val="clear" w:color="auto" w:fill="auto"/>
        </w:rPr>
        <w:t xml:space="preserve">без какого-либо ограничения размера такого возмещения.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 случае, когда один или несколько соответствующих рисков были застрахованы Заказчиком или в его пользу,</w:t>
      </w:r>
      <w:r>
        <w:rPr>
          <w:b/>
          <w:sz w:val="20"/>
          <w:szCs w:val="20"/>
          <w:shd w:val="clear" w:color="auto" w:fill="auto"/>
        </w:rPr>
        <w:t xml:space="preserve"> </w:t>
      </w:r>
      <w:r>
        <w:rPr>
          <w:sz w:val="20"/>
          <w:szCs w:val="20"/>
          <w:shd w:val="clear" w:color="auto" w:fill="auto"/>
        </w:rPr>
        <w:t xml:space="preserve">Исполнитель обязан</w:t>
      </w:r>
      <w:r>
        <w:rPr>
          <w:b/>
          <w:sz w:val="20"/>
          <w:szCs w:val="20"/>
          <w:shd w:val="clear" w:color="auto" w:fill="auto"/>
        </w:rPr>
        <w:t xml:space="preserve"> </w:t>
      </w:r>
      <w:r>
        <w:rPr>
          <w:sz w:val="20"/>
          <w:szCs w:val="20"/>
          <w:shd w:val="clear" w:color="auto" w:fill="auto"/>
        </w:rPr>
        <w:t xml:space="preserve">возместить ущерб в пользу Заказчика в части, не подлежащей возмещению по договору (-ам) страхования.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 случае предъявления налоговыми органами претензий и требований к Заказчику, связанных с недобросовестностью Исполнителем к оказанию Услуг по Договору, компенсировать все убытки Заказчика, вызванные такими претензиями и требованиями.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Назначить лиц, ответственных за обращение с опасными отходами. В случае необходи</w:t>
      </w:r>
      <w:r>
        <w:rPr>
          <w:sz w:val="20"/>
          <w:szCs w:val="20"/>
          <w:shd w:val="clear" w:color="auto" w:fill="auto"/>
        </w:rPr>
        <w:t xml:space="preserve">мости производства работ по обращению с отходами I-IV класса опасности иметь право производства соответствующих работ или привлекать третьих лиц, имеющих право производства соответствующих работ, а также предоставить Заказчику в течение 3 (трех) рабочих дн</w:t>
      </w:r>
      <w:r>
        <w:rPr>
          <w:sz w:val="20"/>
          <w:szCs w:val="20"/>
          <w:shd w:val="clear" w:color="auto" w:fill="auto"/>
        </w:rPr>
        <w:t xml:space="preserve">ей с даты вступления Договора в силу копию лицензии на деятельность по сбору, использованию, обезвреживанию, транспортированию и размещению отходов I-IV класса опасности. Допускать к обращению с отходами I-IV класса опасности только лиц, имеющих профессион</w:t>
      </w:r>
      <w:r>
        <w:rPr>
          <w:sz w:val="20"/>
          <w:szCs w:val="20"/>
          <w:shd w:val="clear" w:color="auto" w:fill="auto"/>
        </w:rPr>
        <w:t xml:space="preserve">альную подготовку, подтвержденную свидетельствами (сертификатами) на право работ с отходами I-IV класса опасности, а также предоставить Заказчику в течение 5 (пяти) рабочих дней с даты вступления Договора в силу копии указанных свидетельств (сертификатов).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Оказывать Заказчику содействие в проведении расследований по случаям захламления земель отходами, загрязнения земель, превышения установленных нормативов сброса и выброса веществ и микроорганизмов в окружающую среду; выделять по требо</w:t>
      </w:r>
      <w:r>
        <w:rPr>
          <w:sz w:val="20"/>
          <w:szCs w:val="20"/>
          <w:shd w:val="clear" w:color="auto" w:fill="auto"/>
        </w:rPr>
        <w:t xml:space="preserve">ванию Заказчика представителей для совместного расследования случаев нарушения природоохранного законодательства, санитарных норм и правил; представлять Заказчику необходимые документы, материалы и давать объяснения при расследовании вышеуказанных случаев.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Письменно</w:t>
      </w:r>
      <w:r>
        <w:rPr>
          <w:bCs/>
          <w:sz w:val="20"/>
          <w:szCs w:val="20"/>
          <w:shd w:val="clear" w:color="auto" w:fill="auto"/>
        </w:rPr>
        <w:t xml:space="preserve"> уведомлять</w:t>
      </w:r>
      <w:r>
        <w:rPr>
          <w:sz w:val="20"/>
          <w:szCs w:val="20"/>
          <w:shd w:val="clear" w:color="auto" w:fill="auto"/>
        </w:rP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13"/>
        </w:numPr>
        <w:pBdr/>
        <w:tabs>
          <w:tab w:val="left" w:leader="none" w:pos="0"/>
          <w:tab w:val="clear" w:leader="none" w:pos="708"/>
          <w:tab w:val="left" w:leader="none" w:pos="851"/>
          <w:tab w:val="left" w:leader="none" w:pos="1134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аварии – в течение 2 (двух) часов;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1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1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хищении и иных противоправных действиях – в течение 24 (двадцати четырех) часов;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1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1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1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иных обстоятельствах, фактах, сообщениях в средствах массовой информации – в</w:t>
      </w:r>
      <w:r>
        <w:rPr>
          <w:sz w:val="20"/>
          <w:szCs w:val="20"/>
          <w:shd w:val="clear" w:color="auto" w:fill="auto"/>
          <w:lang w:val="en-US"/>
        </w:rPr>
        <w:t xml:space="preserve"> </w:t>
      </w:r>
      <w:r>
        <w:rPr>
          <w:sz w:val="20"/>
          <w:szCs w:val="20"/>
          <w:shd w:val="clear" w:color="auto" w:fill="auto"/>
        </w:rPr>
        <w:t xml:space="preserve">течение 24 (двадцати четырех) часов.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Письменно уведомить Заказчика о намерении приостановить оказание </w:t>
      </w:r>
      <w:r>
        <w:rPr>
          <w:sz w:val="20"/>
          <w:szCs w:val="20"/>
          <w:shd w:val="clear" w:color="auto" w:fill="auto"/>
        </w:rPr>
        <w:t xml:space="preserve">Услуг по Договору полностью или частично, когда такая приостановка Услуг Исполнителем допускается в соответствии с условиями Договора, законодательством Российской Федерации не позднее чем за 10 (десять) рабочих дней до даты приостановления оказания Услуг.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2"/>
          <w:numId w:val="11"/>
        </w:numPr>
        <w:pBdr/>
        <w:tabs>
          <w:tab w:val="left" w:leader="none" w:pos="0"/>
          <w:tab w:val="clear" w:leader="none" w:pos="70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color w:val="000000"/>
          <w:sz w:val="20"/>
          <w:szCs w:val="20"/>
          <w:shd w:val="clear" w:color="auto" w:fill="auto"/>
        </w:rPr>
        <w:t xml:space="preserve">Исполнять иные обязанности, предусмотренные Договором и законодательством Российской Федерации.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1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Исполнитель имеет право: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2.4.1. Самостоятельно организовать оказание Услуг.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bCs/>
          <w:sz w:val="20"/>
          <w:szCs w:val="20"/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</w:r>
      <w:r>
        <w:rPr>
          <w:bCs/>
          <w:sz w:val="20"/>
          <w:szCs w:val="20"/>
          <w:highlight w:val="none"/>
          <w:shd w:val="clear" w:color="auto" w:fill="auto"/>
        </w:rPr>
      </w:r>
      <w:r>
        <w:rPr>
          <w:bCs/>
          <w:sz w:val="20"/>
          <w:szCs w:val="20"/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720"/>
        <w:jc w:val="both"/>
        <w:rPr>
          <w:sz w:val="20"/>
          <w:szCs w:val="20"/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0"/>
          <w:numId w:val="11"/>
        </w:numPr>
        <w:pBdr/>
        <w:shd w:val="clear" w:color="auto" w:fill="ffffff"/>
        <w:tabs>
          <w:tab w:val="left" w:leader="none" w:pos="0"/>
          <w:tab w:val="left" w:leader="none" w:pos="284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</w:rPr>
        <w:t xml:space="preserve">Цена Договора и порядок расчетов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vanish/>
          <w:sz w:val="20"/>
          <w:szCs w:val="20"/>
          <w:highlight w:val="none"/>
          <w:shd w:val="clear" w:color="auto" w:fill="auto"/>
        </w:rPr>
      </w:pPr>
      <w:r>
        <w:rPr>
          <w:vanish/>
          <w:sz w:val="20"/>
          <w:szCs w:val="20"/>
          <w:shd w:val="clear" w:color="auto" w:fill="auto"/>
        </w:rPr>
      </w:r>
      <w:r>
        <w:rPr>
          <w:vanish/>
          <w:sz w:val="20"/>
          <w:szCs w:val="20"/>
          <w:highlight w:val="none"/>
          <w:shd w:val="clear" w:color="auto" w:fill="auto"/>
        </w:rPr>
      </w:r>
      <w:r>
        <w:rPr>
          <w:vanish/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right="0" w:firstLine="0"/>
        <w:jc w:val="both"/>
        <w:rPr>
          <w:highlight w:val="none"/>
          <w:shd w:val="clear" w:color="auto" w:fill="auto"/>
        </w:rPr>
      </w:pPr>
      <w:r>
        <w:rPr>
          <w:sz w:val="16"/>
          <w:szCs w:val="16"/>
          <w:shd w:val="clear" w:color="auto" w:fill="auto"/>
        </w:rPr>
        <w:tab/>
        <w:t xml:space="preserve">3.1.   </w:t>
      </w:r>
      <w:r>
        <w:rPr>
          <w:sz w:val="20"/>
          <w:szCs w:val="20"/>
          <w:shd w:val="clear" w:color="auto" w:fill="auto"/>
        </w:rPr>
        <w:t xml:space="preserve">Планируемая Цена Договора являетс</w:t>
      </w:r>
      <w:r>
        <w:rPr>
          <w:sz w:val="20"/>
          <w:szCs w:val="20"/>
          <w:shd w:val="clear" w:color="auto" w:fill="auto"/>
        </w:rPr>
        <w:t xml:space="preserve">я предельной и составляет  2 962 800,00 (два миллиона девятьсот шестьдесят две тысячи восемьсот) рублей _00_ копеек в т.ч. НДС по ставке 22%. При этом НДС исчисляется дополнительно по ставке, установленной статьей 164 Налогового кодекса РФ (далее – НК РФ).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right="0"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3.2.  Расчетным периодом по Договору является календарный месяц.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right="0"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3.3.  Стоимость Услуг по календарным месяцам указана в Приложении №4 к Договору.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right="0"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3.4.  Цена Договора включает в себя прибыль Исполнителя, а также все расходы и затраты Исполнителя на: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right="0"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3.4.1.приобретение материально-технических ресурсов, необходимых для оказания Услуг по Договору;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right="0"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3.4.2.доставку и разгрузку оборудования и необходимых материалов к месту оказания Услуг (в том числе перемещение по территории Заказчика);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right="0"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3.4.3. заработную плату, накладные и командировочные расходы, перемещение и размещение персонала Исполнителя;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right="0"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3.4.4. подлежащие уплате налоги, сборы и пошлины (в том числе по таможенному оформлению оборудования и материалов, если применимо);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right="0"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3.4.5. затраты на устранение мелких дефектов;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right="0"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3.4.6. все прочие затраты и расходы Исполнителя, связанные с оказанием Услуг и исполнением иных обязательств по Договору, а также все прочие расходы, которые могут возникнуть у Исполнителя в течение срока действия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right="0"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3.5. Увеличение стоимости Услуг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right="0" w:firstLine="0" w:left="0"/>
        <w:jc w:val="both"/>
        <w:rPr>
          <w:highlight w:val="none"/>
          <w:shd w:val="clear" w:color="auto" w:fill="auto"/>
        </w:rPr>
      </w:pPr>
      <w:r/>
      <w:r>
        <w:rPr>
          <w:sz w:val="20"/>
          <w:szCs w:val="20"/>
          <w:shd w:val="clear" w:color="auto" w:fill="auto"/>
        </w:rPr>
        <w:tab/>
        <w:t xml:space="preserve">3.6. Оплата по Договору осуществляется Заказчиком в следующем порядке: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right="0"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3.6.1. Расчет за оказанные услуги осуществляется ежемесячно согласно п.3.3, в размере разницы меж</w:t>
      </w:r>
      <w:r>
        <w:rPr>
          <w:sz w:val="20"/>
          <w:szCs w:val="20"/>
          <w:shd w:val="clear" w:color="auto" w:fill="auto"/>
        </w:rPr>
        <w:t xml:space="preserve">ду стоимостью Услуги Договора в каждом Расчетном периоде, определенной с учетом НДС по ставке, установленной статьей 164 НК РФ на дату подписания Сторонами документов, указанных в пункте 4.1 Договора,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3.6.2.  В случае выставления Исполнителем счета на сумму меньшую размера предусмотренного Договором платежа, оплата осуществляется </w:t>
      </w:r>
      <w:r>
        <w:rPr>
          <w:sz w:val="20"/>
          <w:szCs w:val="20"/>
          <w:shd w:val="clear" w:color="auto" w:fill="auto"/>
        </w:rPr>
        <w:t xml:space="preserve">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Исполнителем независимо от его фактического </w:t>
      </w:r>
      <w:r>
        <w:rPr>
          <w:sz w:val="20"/>
          <w:szCs w:val="20"/>
          <w:shd w:val="clear" w:color="auto" w:fill="auto"/>
        </w:rPr>
        <w:t xml:space="preserve">вручения Заказчику. В случае выставления Исполнителем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3.7. Расчеты осуществляются в валюте Российской Федераци</w:t>
      </w:r>
      <w:r>
        <w:rPr>
          <w:sz w:val="20"/>
          <w:szCs w:val="20"/>
          <w:shd w:val="clear" w:color="auto" w:fill="auto"/>
        </w:rPr>
        <w:t xml:space="preserve">и. Оплата производится Заказчиком путем перечисления денежных средств на расчетный счет Исполнителя,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firstLine="0" w:left="0"/>
        <w:jc w:val="both"/>
        <w:rPr>
          <w:highlight w:val="none"/>
          <w:shd w:val="clear" w:color="auto" w:fill="auto"/>
        </w:rPr>
      </w:pPr>
      <w:r>
        <w:rPr>
          <w:shd w:val="clear" w:color="auto" w:fill="auto"/>
        </w:rPr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       </w:t>
      </w:r>
      <w:r>
        <w:rPr>
          <w:sz w:val="20"/>
          <w:szCs w:val="20"/>
          <w:shd w:val="clear" w:color="auto" w:fill="auto"/>
        </w:rPr>
        <w:t xml:space="preserve">3.8. Если изменения, указанные в пункте 2.2.8 Договора, приводят к существенному увеличению Цены Договора, то Ис</w:t>
      </w:r>
      <w:r>
        <w:rPr>
          <w:sz w:val="20"/>
          <w:szCs w:val="20"/>
          <w:shd w:val="clear" w:color="auto" w:fill="auto"/>
        </w:rPr>
        <w:t xml:space="preserve">полнитель обязан сообщить об этом Заказчику не позднее 3 (трех) рабочих дней с даты получения соответствующего письменного распоряжения Заказчика. Стороны, при наступлении указанных обстоятельств, согласуют и подпишут дополнительное соглашение к Договору.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3.9. В случае ввода в эксплуатацию / вывода из эксплуатации Объектов в иные периоды,</w:t>
      </w:r>
      <w:r>
        <w:rPr>
          <w:sz w:val="20"/>
          <w:szCs w:val="20"/>
          <w:shd w:val="clear" w:color="auto" w:fill="auto"/>
        </w:rPr>
        <w:t xml:space="preserve"> чем запланировано согласно сведениям, предоставленным Исполнителю Заказчиком при заключении Договора, стоимость Услуг за соответствующий Расчетный период может быть пропорционально изменена путем заключения Сторонами дополнительного соглашения к Договору.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3.10. За исключением случая, указанного в пункте 2.3.19 Договора, любое превышение фактических объемов оказанных Услуг над объемами Услуг, предусмотренными Договором, к оплате не принимается и считается включенным в Цену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3.11. Индексация Цены Договора не допускается.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3.12. Заказчик вправе произвести сальдо взаимных обязательств Сторон путем уменьшения сумм причитающи</w:t>
      </w:r>
      <w:r>
        <w:rPr>
          <w:sz w:val="20"/>
          <w:szCs w:val="20"/>
          <w:shd w:val="clear" w:color="auto" w:fill="auto"/>
        </w:rPr>
        <w:t xml:space="preserve">хся Исполнителю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Исполнителя перед Заказчиком, в том</w:t>
      </w:r>
      <w:r>
        <w:rPr>
          <w:sz w:val="20"/>
          <w:szCs w:val="20"/>
          <w:shd w:val="clear" w:color="auto" w:fill="auto"/>
        </w:rPr>
        <w:t xml:space="preserve"> числе (включая, но не ограничиваясь), суммы неустоек (пени, штрафы) за неисполнение и / или ненадлежащее исполнение обязательств по Договору, стоимость работ по устранению недостатков оказанных Исполнителем Услуг.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 w:line="240" w:lineRule="auto"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  <w:t xml:space="preserve">         Заказчик направляет Исполнителю уведомление о проведении сальдо взаимных обязательств Сторон по Договору.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clear" w:leader="none" w:pos="708"/>
          <w:tab w:val="left" w:leader="none" w:pos="709"/>
          <w:tab w:val="left" w:leader="none" w:pos="851"/>
          <w:tab w:val="left" w:leader="none" w:pos="1134"/>
        </w:tabs>
        <w:spacing w:line="240" w:lineRule="auto"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  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0"/>
          <w:tab w:val="left" w:leader="none" w:pos="284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</w:rPr>
        <w:t xml:space="preserve">4. Порядок сдачи-приемки Услуг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0"/>
          <w:tab w:val="left" w:leader="none" w:pos="284"/>
          <w:tab w:val="clear" w:leader="none" w:pos="708"/>
          <w:tab w:val="left" w:leader="none" w:pos="851"/>
        </w:tabs>
        <w:spacing/>
        <w:ind w:firstLine="0" w:left="0"/>
        <w:jc w:val="center"/>
        <w:rPr>
          <w:b/>
          <w:bCs/>
          <w:sz w:val="20"/>
          <w:szCs w:val="20"/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4.1.</w:t>
        <w:tab/>
        <w:t xml:space="preserve">По окончании оказания Услуг Исполнитель в течение 3 (трех) рабочих дней предоставляет Заказчику подписанные со своей стороны в  2 (двух) экземплярах: универсальный передаточный документ (УПД) посредством ЭДО по форме Приложения №3 к Договору, а </w:t>
      </w:r>
      <w:r>
        <w:rPr>
          <w:sz w:val="20"/>
          <w:szCs w:val="20"/>
          <w:shd w:val="clear" w:color="auto" w:fill="auto"/>
        </w:rPr>
        <w:t xml:space="preserve">также Отчет об оказании Услуг (форма 2), оформленный в соответствии с требованиями пункта 2.3.15 Договора, с приложением комплекта исполнительной документации и иных отчетных документов, предусмотренных Техническими требованиями (Приложение №1 к Договору).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4.2.</w:t>
        <w:tab/>
        <w:t xml:space="preserve">В течение 5 (пяти) рабочих дней с даты получения полного комплекта документов, указанных в пункте 4.1 Договора, Заказчик подписывает (утверждает) и передает Исполнителю 1</w:t>
      </w:r>
      <w:r>
        <w:rPr>
          <w:sz w:val="20"/>
          <w:szCs w:val="20"/>
          <w:shd w:val="clear" w:color="auto" w:fill="auto"/>
        </w:rPr>
        <w:t xml:space="preserve"> (один) экземпляр Акта об оказании Услуг и Отчета об оказании Услуг либо направляет Исполнителю письменный мотивированный отказ от приемки Услуг (далее – «Ведомость замечаний»), в котором отражает недостатки оказанных Услуг, а также срок на их устранение.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4.3.</w:t>
        <w:tab/>
        <w:t xml:space="preserve">Устранение недостатков, выявленных Заказчиком, осуществляется Испол</w:t>
      </w:r>
      <w:r>
        <w:rPr>
          <w:sz w:val="20"/>
          <w:szCs w:val="20"/>
          <w:shd w:val="clear" w:color="auto" w:fill="auto"/>
        </w:rPr>
        <w:t xml:space="preserve">нителем своими силами и за свой счет в срок, указанный в Ведомости замечаний. Повторная приемка Заказчиком оказанных Услуг после устранения недостатков, указанных в Ведомости замечаний, осуществляется в порядке, предусмотренном пунктами 4.1 - 4.3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4.4.</w:t>
        <w:tab/>
        <w:t xml:space="preserve">Услуги считаются оказанными Исполнителем и принятыми Заказчиком с момента подписания универсального -  передаточного документа (УПД).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4.5.</w:t>
        <w:tab/>
        <w:t xml:space="preserve">Если Исполнитель не устранит недостатки Услуг, указанные в Ведомости замечаний, в срок, установленный Заказчиком в соответствии с пунктом 4.2 Договора, Заказчик вправе собственными силами и (или) силами третьих лиц устранить недостатки, выя</w:t>
      </w:r>
      <w:r>
        <w:rPr>
          <w:sz w:val="20"/>
          <w:szCs w:val="20"/>
          <w:shd w:val="clear" w:color="auto" w:fill="auto"/>
        </w:rPr>
        <w:t xml:space="preserve">вленные в ходе приемки результатов Услуг, с отнесением на Исполнителя соответствующих расходов. Исполнитель обязан возместить указанные расходы Заказчика в течение 10 (десяти) рабочих дней с даты получения соответствующего письменного требования Заказчика.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whit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4.6.</w:t>
        <w:tab/>
        <w:t xml:space="preserve">В случае, если в Расчетном периоде Исполнитель оказал Услуги в объеме меньшем, чем предусмотрено Техническими требованиями (Приложение № 1 к Договору) за соответствующий п</w:t>
      </w:r>
      <w:r>
        <w:rPr>
          <w:sz w:val="20"/>
          <w:szCs w:val="20"/>
          <w:shd w:val="clear" w:color="auto" w:fill="auto"/>
        </w:rPr>
        <w:t xml:space="preserve">ериод, Заказчик вправе принять фактически оказанные Услуги на основании УПД / Акта сдачи-приемки Услуг при условии указания в Отчете об оказании Услуг как фактически оказанных, так и не оказанных Исполнителем Услуг, а та</w:t>
      </w:r>
      <w:r>
        <w:rPr>
          <w:sz w:val="20"/>
          <w:szCs w:val="20"/>
          <w:highlight w:val="white"/>
          <w:shd w:val="clear" w:color="auto" w:fill="auto"/>
        </w:rPr>
        <w:t xml:space="preserve">кже стоимости Услуг каждого вида.   </w:t>
      </w:r>
      <w:r>
        <w:rPr>
          <w:highlight w:val="white"/>
          <w:shd w:val="clear" w:color="auto" w:fill="auto"/>
        </w:rPr>
      </w:r>
      <w:r>
        <w:rPr>
          <w:highlight w:val="whit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white"/>
        </w:rPr>
      </w:pPr>
      <w:r>
        <w:rPr>
          <w:sz w:val="20"/>
          <w:szCs w:val="20"/>
          <w:highlight w:val="white"/>
          <w:shd w:val="clear" w:color="auto" w:fill="auto"/>
        </w:rPr>
        <w:t xml:space="preserve">4.7.</w:t>
      </w:r>
      <w:r>
        <w:rPr>
          <w:sz w:val="20"/>
          <w:szCs w:val="20"/>
          <w:highlight w:val="white"/>
          <w:shd w:val="clear" w:color="auto" w:fill="auto"/>
        </w:rPr>
        <w:tab/>
      </w:r>
      <w:r>
        <w:rPr>
          <w:sz w:val="20"/>
          <w:szCs w:val="20"/>
          <w:highlight w:val="white"/>
          <w:shd w:val="clear" w:color="auto" w:fill="auto"/>
        </w:rPr>
        <w:t xml:space="preserve">Исполнитель обязан представить Заказчику счет-фактуру (УПД), выставленный в сроки и оформленный в порядке, установленном законодательством Российской Федерации. </w:t>
      </w:r>
      <w:r>
        <w:rPr>
          <w:sz w:val="20"/>
          <w:szCs w:val="20"/>
          <w:highlight w:val="white"/>
          <w:shd w:val="clear" w:color="auto" w:fill="auto"/>
        </w:rPr>
      </w:r>
      <w:r>
        <w:rPr>
          <w:highlight w:val="white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white"/>
        </w:rPr>
      </w:pPr>
      <w:r>
        <w:rPr>
          <w:sz w:val="20"/>
          <w:szCs w:val="20"/>
          <w:highlight w:val="white"/>
          <w:shd w:val="clear" w:color="auto" w:fill="auto"/>
        </w:rPr>
        <w:t xml:space="preserve">В случае нарушения Исполнителем данного требования он обязан произвести замену счета-фактуры (УПД) в течение 3 (трех) рабочих дней с даты получения соответствующего письменного требования Заказчика.</w:t>
      </w:r>
      <w:r>
        <w:rPr>
          <w:sz w:val="20"/>
          <w:szCs w:val="20"/>
          <w:highlight w:val="white"/>
          <w:shd w:val="clear" w:color="auto" w:fill="auto"/>
        </w:rPr>
      </w:r>
      <w:r>
        <w:rPr>
          <w:highlight w:val="white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white"/>
        </w:rPr>
      </w:pPr>
      <w:r>
        <w:rPr>
          <w:sz w:val="20"/>
          <w:szCs w:val="20"/>
          <w:highlight w:val="white"/>
          <w:shd w:val="clear" w:color="auto" w:fill="auto"/>
        </w:rPr>
        <w:t xml:space="preserve">В</w:t>
      </w:r>
      <w:r>
        <w:rPr>
          <w:sz w:val="20"/>
          <w:szCs w:val="20"/>
          <w:highlight w:val="white"/>
          <w:shd w:val="clear" w:color="auto" w:fill="auto"/>
        </w:rPr>
        <w:t xml:space="preserve"> случае непредставления Исполнителем в течение 5 (пяти) календарных дней с даты получения авансового платежа счета-фактуры (УПД), подтверждающего право Заказчика на вычет НДС, уплаченного дополнительно к такому авансу, Исполнитель обязан в тот же срок возв</w:t>
      </w:r>
      <w:r>
        <w:rPr>
          <w:sz w:val="20"/>
          <w:szCs w:val="20"/>
          <w:highlight w:val="white"/>
          <w:shd w:val="clear" w:color="auto" w:fill="auto"/>
        </w:rPr>
        <w:t xml:space="preserve">ратить Заказчику разницу между суммой, фактически перечисленной Заказчиком, </w:t>
      </w:r>
      <w:r>
        <w:rPr>
          <w:sz w:val="20"/>
          <w:szCs w:val="20"/>
          <w:highlight w:val="white"/>
          <w:shd w:val="clear" w:color="auto" w:fill="auto"/>
        </w:rPr>
        <w:t xml:space="preserve">и суммой соответствующего авансового платежа, взятого без учета НДС</w:t>
      </w:r>
      <w:r>
        <w:rPr>
          <w:sz w:val="20"/>
          <w:szCs w:val="20"/>
          <w:highlight w:val="white"/>
          <w:shd w:val="clear" w:color="auto" w:fill="auto"/>
        </w:rPr>
      </w:r>
      <w:r>
        <w:rPr>
          <w:highlight w:val="white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sz w:val="20"/>
          <w:szCs w:val="20"/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0"/>
          <w:numId w:val="14"/>
        </w:numPr>
        <w:pBdr/>
        <w:shd w:val="clear" w:color="auto" w:fill="ffffff"/>
        <w:tabs>
          <w:tab w:val="left" w:leader="none" w:pos="0"/>
          <w:tab w:val="left" w:leader="none" w:pos="284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</w:rPr>
        <w:t xml:space="preserve">Ответственность Сторон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4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</w:t>
      </w:r>
      <w:r>
        <w:rPr>
          <w:bCs/>
          <w:sz w:val="20"/>
          <w:szCs w:val="20"/>
          <w:shd w:val="clear" w:color="auto" w:fill="auto"/>
        </w:rPr>
        <w:t xml:space="preserve">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в Договором прямо не предусмотрено иное.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4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whit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Заказчик не несет ответственность за ненадлежащее исполнение обязательств по </w:t>
      </w:r>
      <w:r>
        <w:rPr>
          <w:bCs/>
          <w:sz w:val="20"/>
          <w:szCs w:val="20"/>
          <w:shd w:val="clear" w:color="auto" w:fill="auto"/>
        </w:rPr>
        <w:t xml:space="preserve">внесению предварительной оплаты (аванса). В случае нарушения Заказчиком срока оплаты авансового платежа Исполнител</w:t>
      </w:r>
      <w:r>
        <w:rPr>
          <w:bCs/>
          <w:sz w:val="20"/>
          <w:szCs w:val="20"/>
          <w:highlight w:val="white"/>
          <w:shd w:val="clear" w:color="auto" w:fill="auto"/>
        </w:rPr>
        <w:t xml:space="preserve">ь имеет право приостановить оказание Услуг по Договору при условии предварительного письменного уведомления Заказчика о таком приостановлении.</w:t>
      </w:r>
      <w:r>
        <w:rPr>
          <w:highlight w:val="white"/>
          <w:shd w:val="clear" w:color="auto" w:fill="auto"/>
        </w:rPr>
      </w:r>
      <w:r>
        <w:rPr>
          <w:highlight w:val="white"/>
          <w:shd w:val="clear" w:color="auto" w:fill="auto"/>
        </w:rPr>
      </w:r>
    </w:p>
    <w:p>
      <w:pPr>
        <w:pStyle w:val="865"/>
        <w:numPr>
          <w:ilvl w:val="1"/>
          <w:numId w:val="14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white"/>
          <w:shd w:val="clear" w:color="auto" w:fill="auto"/>
        </w:rPr>
      </w:pPr>
      <w:r>
        <w:rPr>
          <w:highlight w:val="white"/>
        </w:rPr>
      </w:r>
      <w:r>
        <w:rPr>
          <w:bCs/>
          <w:sz w:val="20"/>
          <w:szCs w:val="20"/>
          <w:highlight w:val="white"/>
          <w:shd w:val="clear" w:color="auto" w:fill="auto"/>
        </w:rPr>
        <w:t xml:space="preserve">В случае нарушения Заказчиком сроков оплаты, установленных разделом 3 Договора (за исключением срока оплаты авансовых платежей), Исполнитель вправе требовать уплаты Зак</w:t>
      </w:r>
      <w:r>
        <w:rPr>
          <w:bCs/>
          <w:sz w:val="20"/>
          <w:szCs w:val="20"/>
          <w:highlight w:val="white"/>
          <w:shd w:val="clear" w:color="auto" w:fill="auto"/>
        </w:rPr>
        <w:t xml:space="preserve">азчиком исключительной неустойки в размере 0,1 (ноль целых и одна десятая) процента от несвоевременно оплаченной суммы за каждый день просрочки.</w:t>
      </w:r>
      <w:r>
        <w:rPr>
          <w:highlight w:val="white"/>
          <w:shd w:val="clear" w:color="auto" w:fill="auto"/>
        </w:rPr>
      </w:r>
      <w:r>
        <w:rPr>
          <w:highlight w:val="white"/>
          <w:shd w:val="clear" w:color="auto" w:fill="auto"/>
        </w:rPr>
      </w:r>
    </w:p>
    <w:p>
      <w:pPr>
        <w:pStyle w:val="865"/>
        <w:numPr>
          <w:ilvl w:val="1"/>
          <w:numId w:val="14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white"/>
          <w:shd w:val="clear" w:color="auto" w:fill="auto"/>
        </w:rPr>
      </w:pPr>
      <w:r>
        <w:rPr>
          <w:bCs/>
          <w:sz w:val="20"/>
          <w:szCs w:val="20"/>
          <w:highlight w:val="white"/>
          <w:shd w:val="clear" w:color="auto" w:fill="auto"/>
        </w:rPr>
        <w:t xml:space="preserve">В случае нарушения Исполнителем обязательств по оказанию Услуг, в том числе сроков оказания Услуг, ук</w:t>
      </w:r>
      <w:r>
        <w:rPr>
          <w:bCs/>
          <w:sz w:val="20"/>
          <w:szCs w:val="20"/>
          <w:highlight w:val="white"/>
          <w:shd w:val="clear" w:color="auto" w:fill="auto"/>
        </w:rPr>
        <w:t xml:space="preserve">азанных в пункте 1.8 Договора, а также в случае несвоевременного устранения выявленных недостатков Услуг, Заказчик вправе требовать уплаты Исполнителем неустойки в размере 0,1 (ноль целых и одна десятая) процента от Цены Договора за каждый день просрочки. </w:t>
      </w:r>
      <w:r>
        <w:rPr>
          <w:highlight w:val="white"/>
          <w:shd w:val="clear" w:color="auto" w:fill="auto"/>
        </w:rPr>
      </w:r>
      <w:r>
        <w:rPr>
          <w:highlight w:val="white"/>
          <w:shd w:val="clear" w:color="auto" w:fill="auto"/>
        </w:rPr>
      </w:r>
    </w:p>
    <w:p>
      <w:pPr>
        <w:pStyle w:val="865"/>
        <w:numPr>
          <w:ilvl w:val="1"/>
          <w:numId w:val="14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white"/>
          <w:shd w:val="clear" w:color="auto" w:fill="auto"/>
        </w:rPr>
      </w:pPr>
      <w:r>
        <w:rPr>
          <w:bCs/>
          <w:sz w:val="20"/>
          <w:szCs w:val="20"/>
          <w:highlight w:val="white"/>
          <w:shd w:val="clear" w:color="auto" w:fill="auto"/>
        </w:rPr>
        <w:t xml:space="preserve">В случае нарушения Исполнителем или привлеченными им Субисполнителями требований пропускного и внутриобъектового режима, требований охраны тр</w:t>
      </w:r>
      <w:r>
        <w:rPr>
          <w:bCs/>
          <w:sz w:val="20"/>
          <w:szCs w:val="20"/>
          <w:highlight w:val="white"/>
          <w:shd w:val="clear" w:color="auto" w:fill="auto"/>
        </w:rPr>
        <w:t xml:space="preserve">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Исполнителем штрафа в размерах, установленных Приложением № 6 к Договору. </w:t>
      </w:r>
      <w:r>
        <w:rPr>
          <w:highlight w:val="white"/>
          <w:shd w:val="clear" w:color="auto" w:fill="auto"/>
        </w:rPr>
      </w:r>
      <w:r>
        <w:rPr>
          <w:highlight w:val="white"/>
          <w:shd w:val="clear" w:color="auto" w:fill="auto"/>
        </w:rPr>
      </w:r>
    </w:p>
    <w:p>
      <w:pPr>
        <w:pStyle w:val="865"/>
        <w:numPr>
          <w:ilvl w:val="1"/>
          <w:numId w:val="14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Е</w:t>
      </w:r>
      <w:r>
        <w:rPr>
          <w:sz w:val="20"/>
          <w:szCs w:val="20"/>
          <w:highlight w:val="white"/>
        </w:rPr>
        <w:t xml:space="preserve">сли в результате составления и выставления Исполнителем счетов-фактур, УПД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</w:t>
      </w:r>
      <w:r>
        <w:rPr>
          <w:sz w:val="20"/>
          <w:szCs w:val="20"/>
          <w:highlight w:val="white"/>
        </w:rPr>
        <w:t xml:space="preserve"> НДС, пеней и налоговых санкций, Исполнитель обязан компенсировать Заказчику сумму таких расходов. </w:t>
      </w:r>
      <w:r>
        <w:rPr>
          <w:sz w:val="20"/>
          <w:szCs w:val="20"/>
          <w:highlight w:val="white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 </w:t>
      </w:r>
      <w:r>
        <w:rPr>
          <w:sz w:val="20"/>
          <w:szCs w:val="20"/>
          <w:highlight w:val="white"/>
        </w:rPr>
        <w:t xml:space="preserve">Сумма расходов компенсируется Исполнителем в течение 10 (десяти) рабочих дней в даты получения соответствующего письменного требования Заказчика. </w:t>
      </w:r>
      <w:r>
        <w:rPr>
          <w:sz w:val="20"/>
          <w:szCs w:val="20"/>
          <w:highlight w:val="white"/>
        </w:rPr>
        <w:t xml:space="preserve">В случае нарушения Исполнителем сроков, предусмотренных пунктом 4.7 Договора, Заказчик также имеет право требовать от Исполнителя уплаты штрафа в размере 50 000 (пятидесяти тысяч) рублей за каждый случай нарушения.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865"/>
        <w:numPr>
          <w:ilvl w:val="1"/>
          <w:numId w:val="14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sz w:val="20"/>
          <w:szCs w:val="20"/>
          <w:highlight w:val="darkGray"/>
        </w:rPr>
      </w:pPr>
      <w:r>
        <w:rPr>
          <w:sz w:val="20"/>
          <w:szCs w:val="20"/>
          <w:highlight w:val="white"/>
        </w:rPr>
      </w:r>
      <w:r>
        <w:rPr>
          <w:bCs/>
          <w:color w:val="000000" w:themeColor="text1"/>
          <w:sz w:val="20"/>
          <w:szCs w:val="20"/>
          <w:highlight w:val="white"/>
          <w:shd w:val="clear" w:color="auto" w:fill="auto"/>
        </w:rPr>
        <w:t xml:space="preserve">В</w:t>
      </w:r>
      <w:r>
        <w:rPr>
          <w:bCs/>
          <w:color w:val="000000" w:themeColor="text1"/>
          <w:sz w:val="20"/>
          <w:szCs w:val="20"/>
          <w:highlight w:val="white"/>
          <w:shd w:val="clear" w:color="auto" w:fill="auto"/>
        </w:rPr>
        <w:t xml:space="preserve"> случае если неисполнение / ненадлежащее исполнение Контрагенто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м обязательств по Договору повлекло за собой нарушение Обществом обязательств на оптовом и / или розничных рынках электрической энергии и мощности, Контрагент несет ответственность перед Общест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в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ом за причиненный ущерб в размере фактически понесенных и документально подтвержденных расходов, произведенных для восстановления нарушенного права, в том числе в части затрат, понесенных Обществом согласно Правилам оптового рынка электрической энергии и м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ощности, утвержденным постановлением 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Правительства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 Российской Федерации от 27.12.2010 № 1172 (далее – Правила ОРЭМ), а также иных расходов (штрафов, пени), связанных с нарушением обязательств по поставке электрической энергии, возникших в связи с неисполнен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ием / ненадлежащим исполнением Контрагентом своих обязательств.</w:t>
      </w:r>
      <w:r>
        <w:rPr>
          <w:sz w:val="20"/>
          <w:szCs w:val="20"/>
          <w:highlight w:val="darkGray"/>
        </w:rPr>
      </w:r>
      <w:r>
        <w:rPr>
          <w:sz w:val="20"/>
          <w:szCs w:val="20"/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Кроме суммы реального ущерба, Контрагент компенсирует Обществу упущенную выгоду (выручку) и дополнительные обязательства участника ОРЭМ от недопоставки электрической энергии и мощности на ОРЭМ по вине сторонних организаций.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Размер упущенной выгоды (выручки) подтверждается (по выбору Общества):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– в ценовой зоне оптового рынка: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расчетом, подготовленным Коммерческим оператором оптового рынка; 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color w:val="000000" w:themeColor="text1"/>
          <w:sz w:val="20"/>
          <w:szCs w:val="20"/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и / или </w:t>
      </w:r>
      <w:r>
        <w:rPr>
          <w:color w:val="000000" w:themeColor="text1"/>
          <w:sz w:val="20"/>
          <w:szCs w:val="20"/>
          <w:highlight w:val="darkGray"/>
        </w:rPr>
      </w:r>
      <w:r>
        <w:rPr>
          <w:color w:val="000000" w:themeColor="text1"/>
          <w:sz w:val="20"/>
          <w:szCs w:val="20"/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color w:val="000000" w:themeColor="text1"/>
          <w:sz w:val="20"/>
          <w:szCs w:val="20"/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р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асчетом, подготовленным Обществом на основании методики, утвержденной Наблюдательным советом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 (далее – Асс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оциация «НП Совета рынка»).</w:t>
      </w:r>
      <w:r>
        <w:rPr>
          <w:color w:val="000000" w:themeColor="text1"/>
          <w:sz w:val="20"/>
          <w:szCs w:val="20"/>
          <w:highlight w:val="darkGray"/>
        </w:rPr>
      </w:r>
      <w:r>
        <w:rPr>
          <w:color w:val="000000" w:themeColor="text1"/>
          <w:sz w:val="20"/>
          <w:szCs w:val="20"/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– в отдельной территории ценовой зоны оптового рынка, ранее относившейся к неценовой зоне оптового рынка Дальнего Востока: 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д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о даты утверждения Наблюдательным советом Ассоциации «НП Совет рынка» изменений в методику определения в ценовых зонах ОРЭМ упущенной выручки от недопоставки электрической энергии и мощности на ОРЭМ – расчетом, подготовленным Обществом на основании Методик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и (приложение 7 к Методики ТФУ);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после утверждения Наблюдательным советом Ассоциации «НП Совет рынка» изменений в методику определения в ценовых зонах ОРЭМ упущенной выручки от недопоставки электрической энергии и мощности на ОРЭМ: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расчетом, подготовленным Коммерческим оператором оптового рынка; 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и / или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расчетом, подготовленным Обществом на основании методики, утвержденной Наблюдательным советом Ассоциации «НП Совет рынка».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В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 отношении вновь вводимого оборудования ГЭС / ГАЭС – объектов ДПМ, ДПМ ВИЭ в ценовых зонах ОРЭМ Контрагент дополнительно компенсирует Обществу упущенную выгоду (выручку) в связи неоплатой мощности из-за просрочки исполнения обязательства по поставке мощнос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т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и выводимого на ОРЭМ объекта. Размер упущенной выгоды для каждого месяца просрочки определяется как произведение договорного объема мощности новой ГЭС / ГАЭС на тариф по мощности, определенный Коммерческим оператором оптового рынка в соответствии с регламе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нтами ОРЭМ. Упущенная выгода рассчитывается в случае, если просрочка по поставке мощности привела к сокращению оплачиваемого по договору периода поставки мощности.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В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 отношении вновь вводимого (модернизируемого) оборудования ТЭС в отдельной территории ценовой зоны оптового рынка, ранее относившейся к неценовой зоне оптового рынка Дальнего Востока Контрагент дополнительно компенсирует Обществу упущенную выгоду (выручку)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 в связи: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1. С неоплатой мощности из-за просрочки исполнения обязательства по поставке мощности модернизированным объектом.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Размер упущенной выгоды для каждого месяца просрочки определяется в соответствии с Правилами ОРЭМ.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2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. С уменьшением тарифа на мощность генерирующего объекта, в порядке, установленном договором о присоединении к торговой системе оптового рынка, на стоимость реализации всех мероприятий, выполнение которых не подтверждено, и (или) мероприятий в отношении об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орудования, в отношении которого не подтверждено требование по локализации, определенную в соответствии с решением Правительства Российской Федерации.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Размер упущенной выручки определяется как величина капитальных затрат с учетом доходности на мероприятия, в отношении которых не подтверждено требование по локализации.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0" w:left="0"/>
        <w:jc w:val="both"/>
        <w:rPr>
          <w:highlight w:val="darkGray"/>
        </w:rPr>
      </w:pP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3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. С применением понижающих коэффициентов к стоимости мощности из-за просрочки исполнения обязательства по поставке мощности от модернизированного объекта и(или) несоответствия объема введенной мощности модернизированного объекта величине, указанной в переч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н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е модернизируемых объектов в отдельной территории ценовой зоны оптового рынка, ранее относившейся к неценовой зоне оптового рынка Дальнего Востока  (включенных распоряжениями Правительства Российской Федерации от 17.08.2019 № 1844-р и от 20.02.2021 № 430-р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 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в комплексный план модернизации и расширения магистральной инфраструктуры на период до 2024 года, утвержденный распоряжением Правительства Российской Федерации от 30.09.2018 № 2101-р). Размер упущенной выгоды для каждого месяца просрочки определяется в соо</w:t>
      </w:r>
      <w:r>
        <w:rPr>
          <w:bCs/>
          <w:color w:val="000000" w:themeColor="text1"/>
          <w:sz w:val="20"/>
          <w:szCs w:val="20"/>
          <w:highlight w:val="darkGray"/>
          <w:shd w:val="clear" w:color="auto" w:fill="auto"/>
        </w:rPr>
        <w:t xml:space="preserve">тветствии с Правилами ОРЭМ».</w:t>
      </w:r>
      <w:r>
        <w:rPr>
          <w:highlight w:val="darkGray"/>
        </w:rPr>
      </w:r>
      <w:r>
        <w:rPr>
          <w:highlight w:val="darkGray"/>
        </w:rPr>
      </w:r>
    </w:p>
    <w:p>
      <w:pPr>
        <w:pStyle w:val="865"/>
        <w:numPr>
          <w:ilvl w:val="1"/>
          <w:numId w:val="14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Исполнитель несет ответственность перед Заказчиком за причине</w:t>
      </w:r>
      <w:r>
        <w:rPr>
          <w:bCs/>
          <w:sz w:val="20"/>
          <w:szCs w:val="20"/>
          <w:shd w:val="clear" w:color="auto" w:fill="auto"/>
        </w:rPr>
        <w:t xml:space="preserve">нные убытки в размере фактически понесенных и документально подтвержденных расходов, возникших в связи с неисполнением (ненадлежащим исполнением) Исполнителем своих обязательств, произведенных для восстановления нарушенного права, а также упущенной выгоды.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4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4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4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Учитывая, что для Заказчика надлежащее и своевременное выполнение Исполнителем</w:t>
      </w:r>
      <w:r>
        <w:rPr>
          <w:bCs/>
          <w:sz w:val="20"/>
          <w:szCs w:val="20"/>
          <w:shd w:val="clear" w:color="auto" w:fill="auto"/>
        </w:rPr>
        <w:t xml:space="preserve">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Исполнителем соответствующих обязательств по Договору.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4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276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</w:t>
      </w:r>
      <w:r>
        <w:rPr>
          <w:bCs/>
          <w:sz w:val="20"/>
          <w:szCs w:val="20"/>
          <w:shd w:val="clear" w:color="auto" w:fill="auto"/>
        </w:rPr>
        <w:t xml:space="preserve">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284"/>
          <w:tab w:val="left" w:leader="none" w:pos="567"/>
          <w:tab w:val="clear" w:leader="none" w:pos="708"/>
          <w:tab w:val="left" w:leader="none" w:pos="851"/>
        </w:tabs>
        <w:spacing/>
        <w:ind w:firstLine="0" w:left="0"/>
        <w:rPr>
          <w:b/>
          <w:bCs/>
          <w:sz w:val="20"/>
          <w:szCs w:val="20"/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284"/>
          <w:tab w:val="left" w:leader="none" w:pos="567"/>
          <w:tab w:val="clear" w:leader="none" w:pos="708"/>
          <w:tab w:val="left" w:leader="none" w:pos="851"/>
        </w:tabs>
        <w:spacing/>
        <w:ind w:firstLine="567" w:left="540"/>
        <w:rPr>
          <w:b/>
          <w:bCs/>
          <w:sz w:val="20"/>
          <w:szCs w:val="20"/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0"/>
          <w:numId w:val="10"/>
        </w:numPr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</w:rPr>
        <w:t xml:space="preserve">Исключительные права и патенты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</w:rPr>
      </w:pPr>
      <w:r>
        <w:rPr>
          <w:b/>
          <w:sz w:val="20"/>
          <w:szCs w:val="20"/>
          <w:highlight w:val="none"/>
          <w:shd w:val="clear" w:color="auto" w:fill="auto"/>
        </w:rPr>
      </w:r>
      <w:r>
        <w:rPr>
          <w:b/>
          <w:sz w:val="20"/>
          <w:szCs w:val="20"/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2835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6.1. Исполнитель гарантирует, что оказание Услуг, предусмотренных Договором, а также передача Заказчику их результата не нарушают и не будут нарушать исключительных прав третьих лиц, </w:t>
      </w:r>
      <w:r>
        <w:rPr>
          <w:bCs/>
          <w:sz w:val="20"/>
          <w:szCs w:val="20"/>
          <w:shd w:val="clear" w:color="auto" w:fill="auto"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</w:t>
      </w:r>
      <w:r>
        <w:rPr>
          <w:sz w:val="20"/>
          <w:szCs w:val="20"/>
          <w:shd w:val="clear" w:color="auto" w:fill="auto"/>
        </w:rPr>
        <w:t xml:space="preserve">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6.2. Исполнитель</w:t>
      </w:r>
      <w:r>
        <w:rPr>
          <w:sz w:val="20"/>
          <w:szCs w:val="20"/>
          <w:shd w:val="clear" w:color="auto" w:fill="auto"/>
        </w:rPr>
        <w:t xml:space="preserve"> вправе использовать при оказании Услуг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6.3. Если Заказчику будут предъявлены требования, связанные с тем, что при оказании Услуг по Договору Исполнителем нарушены исключительные права </w:t>
      </w:r>
      <w:r>
        <w:rPr>
          <w:bCs/>
          <w:sz w:val="20"/>
          <w:szCs w:val="20"/>
          <w:shd w:val="clear" w:color="auto" w:fill="auto"/>
        </w:rPr>
        <w:t xml:space="preserve">и / или иных интеллектуальных прав третьих лиц, Исполнитель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720"/>
        <w:jc w:val="both"/>
        <w:rPr>
          <w:sz w:val="20"/>
          <w:szCs w:val="20"/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0"/>
          <w:numId w:val="10"/>
        </w:numPr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  <w:t xml:space="preserve">Конфиденциальность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</w:rPr>
      </w:pPr>
      <w:r>
        <w:rPr>
          <w:b/>
          <w:bCs/>
          <w:sz w:val="20"/>
          <w:szCs w:val="20"/>
          <w:highlight w:val="none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7.1. Под конфиденциальной информацией (далее – «Информация») для целей Договора понимается любая информация, передаваемая Заказчиком Исполнителю в устной либо документарной форме, в виде электронного файл</w:t>
      </w:r>
      <w:r>
        <w:rPr>
          <w:bCs/>
          <w:sz w:val="20"/>
          <w:szCs w:val="20"/>
          <w:shd w:val="clear" w:color="auto" w:fill="auto"/>
        </w:rPr>
        <w:t xml:space="preserve">а, в любом другом виде, а также полученная Исполнителем самостоятельно в ходе визитов на место оказания Услуг,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numPr>
          <w:ilvl w:val="0"/>
          <w:numId w:val="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  <w:lang w:val="ru-RU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numPr>
          <w:ilvl w:val="0"/>
          <w:numId w:val="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  <w:lang w:val="ru-RU"/>
        </w:rPr>
        <w:t xml:space="preserve">данная Информация не относится к категории общедоступной или обязательной к раскрытию </w:t>
      </w:r>
      <w:r>
        <w:rPr>
          <w:bCs/>
          <w:sz w:val="20"/>
          <w:szCs w:val="20"/>
          <w:shd w:val="clear" w:color="auto" w:fill="auto"/>
        </w:rPr>
        <w:t xml:space="preserve">Заказчиком в соответствии с законодательством Российской Федерации.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7.2. 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7.3. 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7.4. 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7.5. Информация может включать в себя, в том числе, но не ограничиваясь: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numPr>
          <w:ilvl w:val="0"/>
          <w:numId w:val="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финансовую </w:t>
      </w:r>
      <w:r>
        <w:rPr>
          <w:bCs/>
          <w:sz w:val="20"/>
          <w:szCs w:val="20"/>
          <w:shd w:val="clear" w:color="auto" w:fill="auto"/>
          <w:lang w:val="en-US"/>
        </w:rPr>
        <w:t xml:space="preserve">(</w:t>
      </w:r>
      <w:r>
        <w:rPr>
          <w:bCs/>
          <w:sz w:val="20"/>
          <w:szCs w:val="20"/>
          <w:shd w:val="clear" w:color="auto" w:fill="auto"/>
        </w:rPr>
        <w:t xml:space="preserve">бухгалтерскую) отчетность;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numPr>
          <w:ilvl w:val="0"/>
          <w:numId w:val="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учетные регистры бухгалтерского учета;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numPr>
          <w:ilvl w:val="0"/>
          <w:numId w:val="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бизнес-планы;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numPr>
          <w:ilvl w:val="0"/>
          <w:numId w:val="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  <w:lang w:val="ru-RU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numPr>
          <w:ilvl w:val="0"/>
          <w:numId w:val="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  <w:lang w:val="ru-RU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numPr>
          <w:ilvl w:val="0"/>
          <w:numId w:val="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  <w:lang w:val="ru-RU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numPr>
          <w:ilvl w:val="0"/>
          <w:numId w:val="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  <w:lang w:val="ru-RU"/>
        </w:rPr>
        <w:t xml:space="preserve">сведения о Исполнителях, поставщиках оборудования и материалов, а также о покупателях продукции Заказчика и их аффилированных лицах;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numPr>
          <w:ilvl w:val="0"/>
          <w:numId w:val="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  <w:lang w:val="ru-RU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numPr>
          <w:ilvl w:val="0"/>
          <w:numId w:val="3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  <w:lang w:val="ru-RU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7.6. Исполнитель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sz w:val="20"/>
          <w:szCs w:val="20"/>
          <w:shd w:val="clear" w:color="auto" w:fill="auto"/>
        </w:rPr>
        <w:t xml:space="preserve"> </w:t>
      </w:r>
      <w:r>
        <w:rPr>
          <w:bCs/>
          <w:sz w:val="20"/>
          <w:szCs w:val="20"/>
          <w:shd w:val="clear" w:color="auto" w:fill="auto"/>
        </w:rPr>
        <w:t xml:space="preserve">(расторжения) или исполнения, в том числе: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7.6.1. не разглашать, не обсуждать содержание, не предоставлят</w:t>
      </w:r>
      <w:r>
        <w:rPr>
          <w:bCs/>
          <w:sz w:val="20"/>
          <w:szCs w:val="20"/>
          <w:shd w:val="clear" w:color="auto" w:fill="auto"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7.6.7 Договора;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7.6.2. принимать меры предосторожности, обычно используемые для защиты такого рода информации в деловом обороте, при этом если Исполни</w:t>
      </w:r>
      <w:r>
        <w:rPr>
          <w:bCs/>
          <w:sz w:val="20"/>
          <w:szCs w:val="20"/>
          <w:shd w:val="clear" w:color="auto" w:fill="auto"/>
        </w:rPr>
        <w:t xml:space="preserve">телем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Исполнитель обязан использовать в отношении защиты Информации обычно используемые им меры защиты;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7.6.3. использовать Информацию исключительно для целей, для которых она была предоставлена;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7.6.4. 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7.6.5. в случае возникновения угро</w:t>
      </w:r>
      <w:r>
        <w:rPr>
          <w:bCs/>
          <w:sz w:val="20"/>
          <w:szCs w:val="20"/>
          <w:shd w:val="clear" w:color="auto" w:fill="auto"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7.6.6. 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Исполнителя. При этом Заказчик признает, что обязательства по возврату или у</w:t>
      </w:r>
      <w:r>
        <w:rPr>
          <w:bCs/>
          <w:sz w:val="20"/>
          <w:szCs w:val="20"/>
          <w:shd w:val="clear" w:color="auto" w:fill="auto"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7.6.7. р</w:t>
      </w:r>
      <w:r>
        <w:rPr>
          <w:bCs/>
          <w:sz w:val="20"/>
          <w:szCs w:val="20"/>
          <w:shd w:val="clear" w:color="auto" w:fill="auto"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7.6.8. не разглашать третьим лицам факты передачи или получения Информации.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7.7. Исполнитель,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7.9. Условия защиты Информации, представляемой Исполнителем Заказчику, могут быть дополнительно урегулированы отдельно заключаемым Сторонами соглашением.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sz w:val="20"/>
          <w:szCs w:val="20"/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sz w:val="20"/>
          <w:szCs w:val="20"/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0"/>
          <w:numId w:val="10"/>
        </w:numPr>
        <w:pBdr/>
        <w:shd w:val="clear" w:color="auto" w:fill="ffffff"/>
        <w:tabs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  <w:t xml:space="preserve">Антикоррупционная оговорка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both"/>
        <w:rPr>
          <w:b/>
          <w:bCs/>
          <w:sz w:val="20"/>
          <w:szCs w:val="20"/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b w:val="0"/>
          <w:bCs w:val="0"/>
          <w:sz w:val="20"/>
          <w:szCs w:val="20"/>
          <w:shd w:val="clear" w:color="auto" w:fill="auto"/>
        </w:rPr>
        <w:t xml:space="preserve">        </w:t>
      </w:r>
      <w:r>
        <w:rPr>
          <w:b w:val="0"/>
          <w:bCs w:val="0"/>
          <w:sz w:val="20"/>
          <w:szCs w:val="20"/>
          <w:shd w:val="clear" w:color="auto" w:fill="auto"/>
        </w:rPr>
        <w:t xml:space="preserve">8.1</w:t>
      </w:r>
      <w:r>
        <w:rPr>
          <w:b/>
          <w:bCs/>
          <w:sz w:val="20"/>
          <w:szCs w:val="20"/>
          <w:shd w:val="clear" w:color="auto" w:fill="auto"/>
        </w:rPr>
        <w:t xml:space="preserve">.  </w:t>
      </w:r>
      <w:r>
        <w:rPr>
          <w:color w:val="000000"/>
          <w:sz w:val="20"/>
          <w:szCs w:val="20"/>
          <w:shd w:val="clear" w:color="auto" w:fill="auto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0"/>
          <w:szCs w:val="20"/>
          <w:shd w:val="clear" w:color="auto" w:fill="auto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  <w:sz w:val="20"/>
          <w:szCs w:val="20"/>
          <w:shd w:val="clear" w:color="auto" w:fill="auto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bCs/>
          <w:color w:val="000000"/>
          <w:sz w:val="20"/>
          <w:szCs w:val="20"/>
          <w:shd w:val="clear" w:color="auto" w:fill="auto"/>
        </w:rPr>
        <w:t xml:space="preserve">         </w:t>
      </w:r>
      <w:r>
        <w:rPr>
          <w:bCs/>
          <w:color w:val="000000"/>
          <w:sz w:val="20"/>
          <w:szCs w:val="20"/>
          <w:shd w:val="clear" w:color="auto" w:fill="auto"/>
        </w:rPr>
        <w:t xml:space="preserve">8.2.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0"/>
          <w:szCs w:val="20"/>
          <w:shd w:val="clear" w:color="auto" w:fill="auto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bCs/>
          <w:color w:val="000000"/>
          <w:sz w:val="20"/>
          <w:szCs w:val="20"/>
          <w:shd w:val="clear" w:color="auto" w:fill="auto"/>
        </w:rPr>
        <w:t xml:space="preserve">        </w:t>
      </w:r>
      <w:r>
        <w:rPr>
          <w:bCs/>
          <w:color w:val="000000"/>
          <w:sz w:val="20"/>
          <w:szCs w:val="20"/>
          <w:shd w:val="clear" w:color="auto" w:fill="auto"/>
        </w:rPr>
        <w:t xml:space="preserve">8.3.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 w:val="20"/>
          <w:szCs w:val="20"/>
          <w:shd w:val="clear" w:color="auto" w:fill="auto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bCs/>
          <w:color w:val="000000"/>
          <w:sz w:val="20"/>
          <w:szCs w:val="20"/>
          <w:shd w:val="clear" w:color="auto" w:fill="auto"/>
        </w:rPr>
        <w:t xml:space="preserve">        </w:t>
      </w:r>
      <w:r>
        <w:rPr>
          <w:bCs/>
          <w:color w:val="000000"/>
          <w:sz w:val="20"/>
          <w:szCs w:val="20"/>
          <w:shd w:val="clear" w:color="auto" w:fill="auto"/>
        </w:rPr>
        <w:t xml:space="preserve">8.4.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0"/>
          <w:szCs w:val="20"/>
          <w:shd w:val="clear" w:color="auto" w:fill="auto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bCs/>
          <w:color w:val="000000"/>
          <w:sz w:val="20"/>
          <w:szCs w:val="20"/>
          <w:shd w:val="clear" w:color="auto" w:fill="auto"/>
        </w:rPr>
        <w:t xml:space="preserve">        </w:t>
      </w:r>
      <w:r>
        <w:rPr>
          <w:bCs/>
          <w:color w:val="000000"/>
          <w:sz w:val="20"/>
          <w:szCs w:val="20"/>
          <w:shd w:val="clear" w:color="auto" w:fill="auto"/>
        </w:rPr>
        <w:t xml:space="preserve">8.5. Стороны гарантируют осуществление надлежащего разбирательства               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  <w:sz w:val="20"/>
          <w:szCs w:val="20"/>
          <w:shd w:val="clear" w:color="auto" w:fill="auto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bCs/>
          <w:color w:val="000000"/>
          <w:sz w:val="20"/>
          <w:szCs w:val="20"/>
          <w:shd w:val="clear" w:color="auto" w:fill="auto"/>
        </w:rPr>
        <w:t xml:space="preserve">        </w:t>
      </w:r>
      <w:r>
        <w:rPr>
          <w:bCs/>
          <w:color w:val="000000"/>
          <w:sz w:val="20"/>
          <w:szCs w:val="20"/>
          <w:shd w:val="clear" w:color="auto" w:fill="auto"/>
        </w:rPr>
        <w:t xml:space="preserve">8.6. В случае подтверждения факта нарушения одной Стороной положений настоящего раздела Договора и/или неполучения другой Стороной информации            о</w:t>
      </w:r>
      <w:r>
        <w:rPr>
          <w:bCs/>
          <w:color w:val="000000"/>
          <w:sz w:val="20"/>
          <w:szCs w:val="20"/>
          <w:shd w:val="clear" w:color="auto" w:fill="auto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bCs/>
          <w:color w:val="000000"/>
          <w:sz w:val="20"/>
          <w:szCs w:val="20"/>
          <w:shd w:val="clear" w:color="auto" w:fill="auto"/>
        </w:rPr>
        <w:t xml:space="preserve">        </w:t>
      </w:r>
      <w:r>
        <w:rPr>
          <w:bCs/>
          <w:color w:val="000000"/>
          <w:sz w:val="20"/>
          <w:szCs w:val="20"/>
          <w:shd w:val="clear" w:color="auto" w:fill="auto"/>
        </w:rPr>
        <w:t xml:space="preserve">8.7. </w:t>
      </w:r>
      <w:r>
        <w:rPr>
          <w:color w:val="000000"/>
          <w:sz w:val="20"/>
          <w:szCs w:val="20"/>
          <w:shd w:val="clear" w:color="auto" w:fill="auto"/>
        </w:rPr>
        <w:t xml:space="preserve">Каналы связи Линия доверия Группы РусГидро: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widowControl w:val="false"/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/>
      </w:pPr>
      <w:r>
        <w:rPr>
          <w:sz w:val="20"/>
          <w:szCs w:val="20"/>
          <w:shd w:val="clear" w:color="auto" w:fill="auto"/>
        </w:rPr>
        <w:t xml:space="preserve">        </w:t>
      </w:r>
      <w:r>
        <w:rPr>
          <w:sz w:val="20"/>
          <w:szCs w:val="20"/>
          <w:shd w:val="clear" w:color="auto" w:fill="auto"/>
        </w:rPr>
        <w:t xml:space="preserve">8.7.1. Электронная почта: </w:t>
      </w:r>
      <w:hyperlink r:id="rId10" w:tooltip="mailto:ld@rushydro.ru" w:history="1">
        <w:r>
          <w:rPr>
            <w:rStyle w:val="824"/>
            <w:sz w:val="20"/>
            <w:szCs w:val="20"/>
            <w:shd w:val="clear" w:color="auto" w:fill="auto"/>
          </w:rPr>
          <w:t xml:space="preserve">ld@rushydro.ru</w:t>
        </w:r>
      </w:hyperlink>
      <w:r>
        <w:rPr>
          <w:sz w:val="20"/>
          <w:szCs w:val="20"/>
          <w:shd w:val="clear" w:color="auto" w:fill="auto"/>
        </w:rPr>
        <w:t xml:space="preserve">.</w:t>
      </w:r>
      <w:r/>
    </w:p>
    <w:p>
      <w:pPr>
        <w:pStyle w:val="865"/>
        <w:widowControl w:val="false"/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/>
      </w:pPr>
      <w:r>
        <w:rPr>
          <w:sz w:val="20"/>
          <w:szCs w:val="20"/>
          <w:shd w:val="clear" w:color="auto" w:fill="auto"/>
        </w:rPr>
        <w:t xml:space="preserve">        </w:t>
      </w:r>
      <w:r>
        <w:rPr>
          <w:sz w:val="20"/>
          <w:szCs w:val="20"/>
          <w:shd w:val="clear" w:color="auto" w:fill="auto"/>
        </w:rPr>
        <w:t xml:space="preserve">8.7.2. Специальная форма «обратной связи», размещенная на официальном сайте Общества в сети интернет: </w:t>
      </w:r>
      <w:hyperlink r:id="rId11" w:tooltip="http://www.rushydro.ru/" w:history="1">
        <w:r>
          <w:rPr>
            <w:rStyle w:val="824"/>
            <w:sz w:val="20"/>
            <w:szCs w:val="20"/>
            <w:shd w:val="clear" w:color="auto" w:fill="auto"/>
          </w:rPr>
          <w:t xml:space="preserve">http://www.rushydro.ru/</w:t>
        </w:r>
      </w:hyperlink>
      <w:r>
        <w:rPr>
          <w:sz w:val="20"/>
          <w:szCs w:val="20"/>
          <w:shd w:val="clear" w:color="auto" w:fill="auto"/>
        </w:rPr>
        <w:t xml:space="preserve"> (далее перейти по ссылке «Линия доверия» и заполнить поля специальной формы «обратной связи»).</w:t>
      </w:r>
      <w:r/>
    </w:p>
    <w:p>
      <w:pPr>
        <w:pStyle w:val="865"/>
        <w:widowControl w:val="false"/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        </w:t>
      </w:r>
      <w:r>
        <w:rPr>
          <w:sz w:val="20"/>
          <w:szCs w:val="20"/>
          <w:shd w:val="clear" w:color="auto" w:fill="auto"/>
        </w:rPr>
        <w:t xml:space="preserve">8.7.3.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widowControl w:val="false"/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sz w:val="20"/>
          <w:szCs w:val="20"/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0"/>
          <w:numId w:val="10"/>
        </w:numPr>
        <w:pBdr/>
        <w:shd w:val="clear" w:color="auto" w:fill="ffffff"/>
        <w:tabs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  <w:t xml:space="preserve">Обстоятельства непреодолимой силы (форс-мажор)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b/>
          <w:bCs/>
          <w:sz w:val="20"/>
          <w:szCs w:val="20"/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Стороны освобождаются от ответственности за неис</w:t>
      </w:r>
      <w:r>
        <w:rPr>
          <w:bCs/>
          <w:sz w:val="20"/>
          <w:szCs w:val="20"/>
          <w:shd w:val="clear" w:color="auto" w:fill="auto"/>
        </w:rPr>
        <w:t xml:space="preserve">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</w:t>
      </w:r>
      <w:r>
        <w:rPr>
          <w:bCs/>
          <w:sz w:val="20"/>
          <w:szCs w:val="20"/>
          <w:shd w:val="clear" w:color="auto" w:fill="auto"/>
        </w:rPr>
        <w:t xml:space="preserve">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</w:t>
      </w:r>
      <w:r>
        <w:rPr>
          <w:bCs/>
          <w:sz w:val="20"/>
          <w:szCs w:val="20"/>
          <w:shd w:val="clear" w:color="auto" w:fill="auto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  <w:sz w:val="20"/>
          <w:szCs w:val="20"/>
          <w:shd w:val="clear" w:color="auto" w:fill="auto"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Надлежащим (достаточным) доказательством наличия / возникновения и про</w:t>
      </w:r>
      <w:r>
        <w:rPr>
          <w:bCs/>
          <w:sz w:val="20"/>
          <w:szCs w:val="20"/>
          <w:shd w:val="clear" w:color="auto" w:fill="auto"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Отсутствие уведомления или </w:t>
      </w:r>
      <w:r>
        <w:rPr>
          <w:bCs/>
          <w:sz w:val="20"/>
          <w:szCs w:val="20"/>
          <w:shd w:val="clear" w:color="auto" w:fill="auto"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0"/>
          <w:szCs w:val="20"/>
          <w:shd w:val="clear" w:color="auto" w:fill="auto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0"/>
          <w:szCs w:val="20"/>
          <w:shd w:val="clear" w:color="auto" w:fill="auto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left" w:leader="none" w:pos="567"/>
          <w:tab w:val="clear" w:leader="none" w:pos="708"/>
          <w:tab w:val="left" w:leader="none" w:pos="851"/>
        </w:tabs>
        <w:spacing/>
        <w:ind w:firstLine="567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65"/>
        <w:numPr>
          <w:ilvl w:val="0"/>
          <w:numId w:val="10"/>
        </w:numPr>
        <w:pBdr/>
        <w:shd w:val="clear" w:color="auto" w:fill="ffffff"/>
        <w:tabs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  <w:t xml:space="preserve">Особые положения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b/>
          <w:bCs/>
          <w:sz w:val="20"/>
          <w:szCs w:val="20"/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Исполнитель обязуется не привлекать и не допускать привлечения к исполнению обязательств по Договору организации: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имеющие признаки недобросовестности, определенные постановлением Пленума Высшего Арбитражного Суда Российской Федерации (далее – ВАС РФ) </w:t>
      </w:r>
      <w:r>
        <w:rPr>
          <w:bCs/>
          <w:sz w:val="20"/>
          <w:szCs w:val="20"/>
          <w:shd w:val="clear" w:color="auto" w:fill="auto"/>
        </w:rPr>
        <w:t xml:space="preserve">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№ 18162/09 и от 25.05.2010 № 15658/09, согласно которым при оценке необоснованной налоговой выг</w:t>
      </w:r>
      <w:r>
        <w:rPr>
          <w:bCs/>
          <w:sz w:val="20"/>
          <w:szCs w:val="20"/>
          <w:shd w:val="clear" w:color="auto" w:fill="auto"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соответствующие Критериям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Исполнитель обязуется незаме</w:t>
      </w:r>
      <w:r>
        <w:rPr>
          <w:bCs/>
          <w:sz w:val="20"/>
          <w:szCs w:val="20"/>
          <w:shd w:val="clear" w:color="auto" w:fill="auto"/>
        </w:rPr>
        <w:t xml:space="preserve">длительно уведомить Заказчика о появлении в ходе исполнения Договора у привлеченных Исполнителем Субисполнителей признаков недобросовестности, указанных в пункте 10.1 Договора, а также обеспечить прекращение участия таких организаций в исполнении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В случае нарушения Исполнителем обязательств, установленных пунктами 10.1, 10.2 Договора, Заказчик вправе в одностороннем внесудебном порядке отказаться от Договора путем направления уведомления об отказе от Дог</w:t>
      </w:r>
      <w:r>
        <w:rPr>
          <w:bCs/>
          <w:sz w:val="20"/>
          <w:szCs w:val="20"/>
          <w:shd w:val="clear" w:color="auto" w:fill="auto"/>
        </w:rPr>
        <w:t xml:space="preserve">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Исполнителем такого уведомления. Договор считается прекращенным (расторгнутым) с даты, указанной в </w:t>
      </w:r>
      <w:r>
        <w:rPr>
          <w:bCs/>
          <w:sz w:val="20"/>
          <w:szCs w:val="20"/>
          <w:shd w:val="clear" w:color="auto" w:fill="auto"/>
        </w:rPr>
        <w:t xml:space="preserve">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Исполнителя, представленных до наступления указанной Заказчиком даты расторжения.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Исполнитель обязан уплатить Заказчику</w:t>
      </w:r>
      <w:r>
        <w:rPr>
          <w:bCs/>
          <w:sz w:val="20"/>
          <w:szCs w:val="20"/>
          <w:shd w:val="clear" w:color="auto" w:fill="auto"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10.1, 10.2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Штраф, предусмотренный пунктом 10.6 Договора, оплачивается Исполнителем в течение 10 (десяти) рабочих д</w:t>
      </w:r>
      <w:r>
        <w:rPr>
          <w:bCs/>
          <w:sz w:val="20"/>
          <w:szCs w:val="20"/>
          <w:shd w:val="clear" w:color="auto" w:fill="auto"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10.3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Заказчик вправе приостановить осуществление любых платежей по Договору, причитающих</w:t>
      </w:r>
      <w:r>
        <w:rPr>
          <w:bCs/>
          <w:sz w:val="20"/>
          <w:szCs w:val="20"/>
          <w:shd w:val="clear" w:color="auto" w:fill="auto"/>
        </w:rPr>
        <w:t xml:space="preserve">ся Исполнителю, независимо от наличия оснований и наступления сроков таких платежей, до уплаты Исполнителем штрафа, предусмотренного пунктом 10.4 Договора. При этом Заказчик не будет считаться просрочившим и / или нарушившим свои обязательства по Договору.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Независимо от других положений Договора, положения пунктов 10.4, 10.5 Договора продолжают действовать в течение 4 (четырех) лет после его прекращения (расторжения) или исполнения.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both"/>
        <w:rPr>
          <w:bCs/>
          <w:sz w:val="20"/>
          <w:szCs w:val="20"/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</w:r>
      <w:r>
        <w:rPr>
          <w:bCs/>
          <w:sz w:val="20"/>
          <w:szCs w:val="20"/>
          <w:highlight w:val="none"/>
          <w:shd w:val="clear" w:color="auto" w:fill="auto"/>
        </w:rPr>
      </w:r>
      <w:r>
        <w:rPr>
          <w:bCs/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0"/>
          <w:numId w:val="10"/>
        </w:numPr>
        <w:pBdr/>
        <w:shd w:val="clear" w:color="auto" w:fill="ffffff"/>
        <w:tabs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  <w:t xml:space="preserve">Заверения</w:t>
      </w:r>
      <w:r>
        <w:rPr>
          <w:b/>
          <w:sz w:val="20"/>
          <w:szCs w:val="20"/>
          <w:shd w:val="clear" w:color="auto" w:fill="auto"/>
        </w:rPr>
        <w:t xml:space="preserve"> Сторон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left"/>
        <w:rPr>
          <w:b/>
          <w:bCs/>
          <w:sz w:val="20"/>
          <w:szCs w:val="20"/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Каждая</w:t>
      </w:r>
      <w:r>
        <w:rPr>
          <w:sz w:val="20"/>
          <w:szCs w:val="20"/>
          <w:shd w:val="clear" w:color="auto" w:fill="auto"/>
        </w:rPr>
        <w:t xml:space="preserve"> из Сторон заявляет и подтверждает другой Стороне, что: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6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6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6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она получила все корпоративные одо</w:t>
      </w:r>
      <w:r>
        <w:rPr>
          <w:sz w:val="20"/>
          <w:szCs w:val="20"/>
          <w:shd w:val="clear" w:color="auto" w:fill="auto"/>
        </w:rP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6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6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Исполнитель</w:t>
      </w:r>
      <w:r>
        <w:rPr>
          <w:sz w:val="20"/>
          <w:szCs w:val="20"/>
          <w:shd w:val="clear" w:color="auto" w:fill="auto"/>
        </w:rPr>
        <w:t xml:space="preserve"> заявляет и заверяет Заказчика в том, что на момент заключения Договора: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учредителем / учредителями Исполнителя являются лица, не являющиеся массовыми учредителем / учредителями;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руководителем Исполнителя является лицо, не являющееся массовым руководителем;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Исполнитель фактически находится по адресу, указанному в Едином государственном реестре юридических лиц;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Исполнитель своевременно и в полном объеме уплачивает налоги и сборы в соответствии с законодательством Российской Федерации;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7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Исполнитель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</w:t>
      </w:r>
      <w:r>
        <w:rPr>
          <w:sz w:val="20"/>
          <w:szCs w:val="20"/>
          <w:shd w:val="clear" w:color="auto" w:fill="auto"/>
        </w:rPr>
        <w:t xml:space="preserve">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Исполнителя должным образом исполнять обязательства, возникающие из Договору или в связи с ним;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7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Исполнителя в со</w:t>
      </w:r>
      <w:r>
        <w:rPr>
          <w:sz w:val="20"/>
          <w:szCs w:val="20"/>
          <w:shd w:val="clear" w:color="auto" w:fill="auto"/>
        </w:rPr>
        <w:t xml:space="preserve">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Исполнителем, не подлежит лицензированию и / или не требует получения иного разрешительного документа;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7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Исполнитель тщательно изучил всю информацию, связанную с Д</w:t>
      </w:r>
      <w:r>
        <w:rPr>
          <w:sz w:val="20"/>
          <w:szCs w:val="20"/>
          <w:shd w:val="clear" w:color="auto" w:fill="auto"/>
        </w:rPr>
        <w:t xml:space="preserve">оговором, в том числе по вопросам, влияющим на сроки, стоимость и качество Услуг, полностью ознакомлен со всеми условиями оказания Услуг, и принимает на себя все расходы, риски и трудности исполнения обязательств, возникающих из Договора или в связи с ним;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7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7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Исполнитель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7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вся информация, предоставленная Заказчику, является достоверной, полной и точной, и Исполнитель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 случае, если </w:t>
      </w:r>
      <w:r>
        <w:rPr>
          <w:bCs/>
          <w:sz w:val="20"/>
          <w:szCs w:val="20"/>
          <w:shd w:val="clear" w:color="auto" w:fill="auto"/>
        </w:rPr>
        <w:t xml:space="preserve">Исполнитель </w:t>
      </w:r>
      <w:r>
        <w:rPr>
          <w:sz w:val="20"/>
          <w:szCs w:val="20"/>
          <w:shd w:val="clear" w:color="auto" w:fill="auto"/>
        </w:rPr>
        <w:t xml:space="preserve">при заключении Договора предоставил Заказчику недостоверные заверения о любом из указанных в настоящем разделе Договора обстоятельств, имеющих существенное значение для заключения и исполнения Договора, </w:t>
      </w:r>
      <w:r>
        <w:rPr>
          <w:bCs/>
          <w:sz w:val="20"/>
          <w:szCs w:val="20"/>
          <w:shd w:val="clear" w:color="auto" w:fill="auto"/>
        </w:rPr>
        <w:t xml:space="preserve">Исполнитель о</w:t>
      </w:r>
      <w:r>
        <w:rPr>
          <w:sz w:val="20"/>
          <w:szCs w:val="20"/>
          <w:shd w:val="clear" w:color="auto" w:fill="auto"/>
        </w:rPr>
        <w:t xml:space="preserve">бязан по письменному требованию Заказчика уплатить последнему штраф в размере 5 (пяти) процентов от Цены Договора, указанной в пункте 3.1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Недостоверность, неточность или неполнота любых указанных в настоящем разделе Договора обстоятельств в значительной степени лишает получ</w:t>
      </w:r>
      <w:r>
        <w:rPr>
          <w:sz w:val="20"/>
          <w:szCs w:val="20"/>
          <w:shd w:val="clear" w:color="auto" w:fill="auto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709"/>
        <w:jc w:val="both"/>
        <w:rPr>
          <w:b/>
          <w:sz w:val="20"/>
          <w:szCs w:val="20"/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</w:rPr>
      </w:r>
      <w:r>
        <w:rPr>
          <w:b/>
          <w:sz w:val="20"/>
          <w:szCs w:val="20"/>
          <w:highlight w:val="none"/>
          <w:shd w:val="clear" w:color="auto" w:fill="auto"/>
        </w:rPr>
      </w:r>
      <w:r>
        <w:rPr>
          <w:b/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0"/>
          <w:numId w:val="10"/>
        </w:numPr>
        <w:pBdr/>
        <w:shd w:val="clear" w:color="auto" w:fill="ffffff"/>
        <w:tabs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  <w:t xml:space="preserve">П</w:t>
      </w:r>
      <w:r>
        <w:rPr>
          <w:b/>
          <w:sz w:val="20"/>
          <w:szCs w:val="20"/>
          <w:shd w:val="clear" w:color="auto" w:fill="auto"/>
        </w:rPr>
        <w:t xml:space="preserve">рекращение (расторжение) Договора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</w:rPr>
      </w:pPr>
      <w:r>
        <w:rPr>
          <w:b/>
          <w:sz w:val="20"/>
          <w:szCs w:val="20"/>
          <w:highlight w:val="none"/>
          <w:shd w:val="clear" w:color="auto" w:fill="auto"/>
        </w:rPr>
      </w:r>
      <w:r>
        <w:rPr>
          <w:b/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Договор может быть прекращен (расторгнут) по соглашению Сторон. Сторона, имеющая намерение расторгнуть Договор, обязана направить письменное уведомление об этом другой Сторон</w:t>
      </w:r>
      <w:r>
        <w:rPr>
          <w:sz w:val="20"/>
          <w:szCs w:val="20"/>
          <w:shd w:val="clear" w:color="auto" w:fill="auto"/>
        </w:rPr>
        <w:t xml:space="preserve">е в порядке, предусмотренном пунктом 14.8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Заказчик вправе в любое время до сдачи ему результатов Услуг в односторонне</w:t>
      </w:r>
      <w:r>
        <w:rPr>
          <w:sz w:val="20"/>
          <w:szCs w:val="20"/>
          <w:shd w:val="clear" w:color="auto" w:fill="auto"/>
        </w:rPr>
        <w:t xml:space="preserve">м внесудебном порядке отказаться от Договора полностью или в части, уплатив Исполнителю часть установленной Цены Договора, пропорциональную части Услуг, оказанных до получения Исполнителем уведомления Заказчика об отказе от Договора (исполнения Договора).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Возмещение убытков Исполнителя, вызванных отказом от Договора (исполнения Договора), Заказчиком не производится.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убытков, причиненных отказом от Договора (исполнения Договора).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Заказчик одновременно с уведомлением об отказе от Договора (исполнения Д</w:t>
      </w:r>
      <w:r>
        <w:rPr>
          <w:sz w:val="20"/>
          <w:szCs w:val="20"/>
          <w:shd w:val="clear" w:color="auto" w:fill="auto"/>
        </w:rPr>
        <w:t xml:space="preserve">оговора) направляет Исполнителю письменное требование о возмещении убытков с приложением расчета суммы убытков. Исполнитель обязан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Стороны установили, что существенным нарушением Договора Исполнителем является: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5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right="23"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нарушение Исполнителем начального и конечного сроков оказания Услуг по Договору более чем на 60 (шестьдесят) календарных дней по причинам, не зависящим от Заказчика;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5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right="23"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несоблюдение Исполнителем требований к качеству Услуг и / и</w:t>
      </w:r>
      <w:r>
        <w:rPr>
          <w:sz w:val="20"/>
          <w:szCs w:val="20"/>
          <w:shd w:val="clear" w:color="auto" w:fill="auto"/>
        </w:rPr>
        <w:t xml:space="preserve">ли используемых при оказании Услуг Материально-технических ресурсов, если исправление выявленных Заказчиком недостатков Услуг влечет нарушение сроков оказания Услуг более чем на 60 (шестьдесят) календарных дней либо такие недостатки являются неустранимыми;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5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right="23"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5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right="23"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принятие актов государственных органов или организаций, лишающих Исполнителя в установленном порядке права на оказание Услуг по Договору;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5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right="23"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наложение ареста на имущество Исполнителя, введение арбитражным судом процедуры несостоятельности (банкротства) в отношении Исполнителя;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5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right="23"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привлечение к оказанию Услуг по Договору третьих лиц </w:t>
      </w:r>
      <w:r>
        <w:rPr>
          <w:bCs/>
          <w:sz w:val="20"/>
          <w:szCs w:val="20"/>
          <w:shd w:val="clear" w:color="auto" w:fill="auto"/>
        </w:rPr>
        <w:t xml:space="preserve">(Субисполнителей)</w:t>
      </w:r>
      <w:r>
        <w:rPr>
          <w:sz w:val="20"/>
          <w:szCs w:val="20"/>
          <w:shd w:val="clear" w:color="auto" w:fill="auto"/>
        </w:rPr>
        <w:t xml:space="preserve">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numPr>
          <w:ilvl w:val="0"/>
          <w:numId w:val="5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5"/>
        </w:numPr>
        <w:pBdr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right="23"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установление в ходе исполнения Договора фактов несоответствия Исполнителя установленным документацией о закупке требованиям к участникам закупки и / или предоставлени</w:t>
      </w:r>
      <w:r>
        <w:rPr>
          <w:sz w:val="20"/>
          <w:szCs w:val="20"/>
          <w:shd w:val="clear" w:color="auto" w:fill="auto"/>
        </w:rPr>
        <w:t xml:space="preserve">я недостоверной информации о своем соответствии таким требованиям, а также недостоверности, неточности или неполноты заверений Исполнителя об обстоятельствах, указанных в разделе 11 Договора, и имеющих существенное значение для его заключения и исполнения.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 слу</w:t>
      </w:r>
      <w:r>
        <w:rPr>
          <w:sz w:val="20"/>
          <w:szCs w:val="20"/>
          <w:shd w:val="clear" w:color="auto" w:fill="auto"/>
        </w:rPr>
        <w:t xml:space="preserve">чае отказа Заказчика от Договора в случаях, предусмотренных пунктами 12.2 - 12.4 Договора, последний считается прекращенным (расторгнутым) со дня, следующего за днем получения Исполнителем уведомления Заказчика об отказе от Договора (исполнения Договора).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С даты прекращения Договора Исполнитель обязан прекратить оказание Услуг (за исключением тех, которые необходимо завершить для обеспечения безопасности Объекта), и в согласованные Сторонами сроки: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9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передать Заказчику результат Услуг, техническую и иную полученную документацию, закупленные Материально-технические ресурсы;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9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вывезти с места оказания Услуг собственную строительную технику и персонал Исполнителя;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0"/>
          <w:numId w:val="9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удалить с места оказания Услуг весь мусор и все остаточные продукты любого рода и оставить место оказания Услуг чистым и безопасным.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При прекращении (расторжении) Договора по основаниям, указанным в настоящем разделе Дого</w:t>
      </w:r>
      <w:r>
        <w:rPr>
          <w:sz w:val="20"/>
          <w:szCs w:val="20"/>
          <w:shd w:val="clear" w:color="auto" w:fill="auto"/>
        </w:rPr>
        <w:t xml:space="preserve">вора, все обязательства Сторон по Договору считаются прекратившимися, за исключением обязательств по незавершенным расчетам, а также обязательств Исполнителя по возмещению неустойки (пени), штрафов и убытков в случаях и размерах, предусмотренных Договором.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540"/>
        <w:jc w:val="both"/>
        <w:rPr>
          <w:sz w:val="20"/>
          <w:szCs w:val="20"/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540"/>
        <w:jc w:val="both"/>
        <w:rPr>
          <w:sz w:val="20"/>
          <w:szCs w:val="20"/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0"/>
          <w:numId w:val="10"/>
        </w:numPr>
        <w:pBdr/>
        <w:shd w:val="clear" w:color="auto" w:fill="ffffff"/>
        <w:tabs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  <w:t xml:space="preserve">Разрешение споров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</w:rPr>
      </w:pPr>
      <w:r>
        <w:rPr>
          <w:b/>
          <w:bCs/>
          <w:sz w:val="20"/>
          <w:szCs w:val="20"/>
          <w:highlight w:val="none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Споры, указанные в пункте 13.1 Договора, которые не были урегулированы Сторонами путем переговоров, подлежат разрешению в Арбитражном суде Республики Саха (Якутия) в соответствии с законодательством Российской Федерации.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Сторонами применяется обязательный </w:t>
      </w:r>
      <w:r>
        <w:rPr>
          <w:bCs/>
          <w:sz w:val="20"/>
          <w:szCs w:val="20"/>
          <w:shd w:val="clear" w:color="auto" w:fill="auto"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14.8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134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Условия настоящего раздела Договора сохраняют свою силу в случае признания Договора незаключенным и / или недействительным.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b/>
          <w:bCs/>
          <w:sz w:val="20"/>
          <w:szCs w:val="20"/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b/>
          <w:bCs/>
          <w:sz w:val="20"/>
          <w:szCs w:val="20"/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0"/>
          <w:numId w:val="10"/>
        </w:numPr>
        <w:pBdr/>
        <w:shd w:val="clear" w:color="auto" w:fill="ffffff"/>
        <w:tabs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  <w:t xml:space="preserve">Заключительные положения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0" w:left="0"/>
        <w:jc w:val="center"/>
        <w:rPr>
          <w:b/>
          <w:bCs/>
          <w:sz w:val="20"/>
          <w:szCs w:val="20"/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Договор вступает в силу с даты его подписания Сторонами и действует до полного исполнения ими принятых на себя обязательств. В соответствии с пунктом 2 статьи 425 ГК РФ, условия Договора применяются к отношениям Сторон, возникшим с __________.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  <w:tab w:val="left" w:leader="none" w:pos="1134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eastAsia="en-US"/>
        </w:rPr>
        <w:t xml:space="preserve">Договор заключается в электронной форме с использованием программно-аппаратных средств путем его подписания усиленными квалифицированными электронными подписями уполномоченных представителей Сторон.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eastAsia="en-US"/>
        </w:rPr>
        <w:t xml:space="preserve">Договор, подписанный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eastAsia="en-US"/>
        </w:rPr>
        <w:t xml:space="preserve">Стороны пришли</w:t>
      </w:r>
      <w:r>
        <w:rPr>
          <w:sz w:val="20"/>
          <w:szCs w:val="20"/>
          <w:shd w:val="clear" w:color="auto" w:fill="auto"/>
          <w:lang w:eastAsia="en-US"/>
        </w:rPr>
        <w:t xml:space="preserve"> к соглашению,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Все изменения </w:t>
      </w:r>
      <w:r>
        <w:rPr>
          <w:sz w:val="20"/>
          <w:szCs w:val="20"/>
          <w:shd w:val="clear" w:color="auto" w:fill="auto"/>
        </w:rPr>
        <w:t xml:space="preserve">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пунктом 14.7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0"/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0"/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 случае наличия любых расхождений между содержанием Договора и приложений к нему, приоритет имеет текст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0"/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</w:t>
      </w:r>
      <w:r>
        <w:rPr>
          <w:sz w:val="20"/>
          <w:szCs w:val="20"/>
          <w:shd w:val="clear" w:color="auto" w:fill="auto"/>
        </w:rPr>
        <w:t xml:space="preserve">дке, предусмотренном пунктом 14.8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0"/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Стороны обязуются уведомлять друг друга об изменении адреса и / или реквизитов, указанных в разделе 16 Договора, не позднее 3 (трех) рабочих дней после такого изменения в порядке, установленном пунктом 14.8 Договора.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0"/>
          <w:tab w:val="left" w:leader="none" w:pos="426"/>
          <w:tab w:val="left" w:leader="none" w:pos="567"/>
          <w:tab w:val="clear" w:leader="none" w:pos="708"/>
          <w:tab w:val="left" w:leader="none" w:pos="85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Письма, уведомлени</w:t>
      </w:r>
      <w:r>
        <w:rPr>
          <w:sz w:val="20"/>
          <w:szCs w:val="20"/>
          <w:shd w:val="clear" w:color="auto" w:fill="auto"/>
        </w:rPr>
        <w:t xml:space="preserve">я и / или сообщения направляются Стороне-получателю по адресу ее места нахождения, указанному в разделе 16 Договора,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14.8.1. 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14.8.2. заказным почтовым отправлением с уведомлением о вручении – </w:t>
      </w:r>
      <w:r>
        <w:rPr>
          <w:sz w:val="20"/>
          <w:szCs w:val="20"/>
          <w:shd w:val="clear" w:color="auto" w:fill="auto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tabs>
          <w:tab w:val="left" w:leader="none" w:pos="0"/>
          <w:tab w:val="left" w:leader="none" w:pos="567"/>
          <w:tab w:val="clear" w:leader="none" w:pos="708"/>
          <w:tab w:val="left" w:leader="none" w:pos="851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14.8.3.  посредством электронной почты (</w:t>
      </w:r>
      <w:r>
        <w:rPr>
          <w:bCs/>
          <w:sz w:val="20"/>
          <w:szCs w:val="20"/>
          <w:shd w:val="clear" w:color="auto" w:fill="auto"/>
          <w:lang w:val="en-US"/>
        </w:rPr>
        <w:t xml:space="preserve">e</w:t>
      </w:r>
      <w:r>
        <w:rPr>
          <w:bCs/>
          <w:sz w:val="20"/>
          <w:szCs w:val="20"/>
          <w:shd w:val="clear" w:color="auto" w:fill="auto"/>
        </w:rPr>
        <w:t xml:space="preserve">-</w:t>
      </w:r>
      <w:r>
        <w:rPr>
          <w:bCs/>
          <w:sz w:val="20"/>
          <w:szCs w:val="20"/>
          <w:shd w:val="clear" w:color="auto" w:fill="auto"/>
          <w:lang w:val="en-US"/>
        </w:rPr>
        <w:t xml:space="preserve">mail</w:t>
      </w:r>
      <w:r>
        <w:rPr>
          <w:bCs/>
          <w:sz w:val="20"/>
          <w:szCs w:val="20"/>
          <w:shd w:val="clear" w:color="auto" w:fill="auto"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14.8.1. – 14.8.2. Договора.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</w:t>
      </w:r>
      <w:r>
        <w:rPr>
          <w:sz w:val="20"/>
          <w:szCs w:val="20"/>
          <w:shd w:val="clear" w:color="auto" w:fill="auto"/>
        </w:rPr>
        <w:t xml:space="preserve">законодательством</w:t>
      </w:r>
      <w:r>
        <w:rPr>
          <w:bCs/>
          <w:sz w:val="20"/>
          <w:szCs w:val="20"/>
          <w:shd w:val="clear" w:color="auto" w:fill="auto"/>
        </w:rPr>
        <w:t xml:space="preserve">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Уступка, передача в залог прав (требований), принадлежащих Исполнителю на основании Договора, допускается только с предварительного письменного согласия Заказчика</w:t>
      </w:r>
      <w:r>
        <w:rPr>
          <w:rStyle w:val="802"/>
          <w:sz w:val="20"/>
          <w:szCs w:val="20"/>
          <w:shd w:val="clear" w:color="auto" w:fill="auto"/>
          <w:vertAlign w:val="superscript"/>
        </w:rPr>
        <w:footnoteReference w:id="2"/>
      </w:r>
      <w:r>
        <w:rPr>
          <w:sz w:val="20"/>
          <w:szCs w:val="20"/>
          <w:shd w:val="clear" w:color="auto" w:fill="auto"/>
        </w:rPr>
        <w:t xml:space="preserve">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numPr>
          <w:ilvl w:val="1"/>
          <w:numId w:val="10"/>
        </w:numPr>
        <w:pBdr/>
        <w:shd w:val="clear" w:color="auto" w:fill="ffffff"/>
        <w:tabs>
          <w:tab w:val="left" w:leader="none" w:pos="0"/>
          <w:tab w:val="left" w:leader="none" w:pos="567"/>
          <w:tab w:val="clear" w:leader="none" w:pos="708"/>
          <w:tab w:val="left" w:leader="none" w:pos="851"/>
          <w:tab w:val="left" w:leader="none" w:pos="1418"/>
        </w:tabs>
        <w:spacing/>
        <w:ind w:firstLine="567" w:left="0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 xml:space="preserve">Договор составлен в 2 (двух) оригинальных экземплярах, имеющих равную юридическую силу, по 1 (одному) для каждой из Сторон.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hd w:val="clear" w:color="auto" w:fill="ffffff"/>
        <w:tabs>
          <w:tab w:val="clear" w:leader="none" w:pos="708"/>
          <w:tab w:val="left" w:leader="none" w:pos="1418"/>
        </w:tabs>
        <w:spacing/>
        <w:ind w:firstLine="426"/>
        <w:jc w:val="both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hd w:val="clear" w:color="auto" w:fill="ffffff"/>
        <w:tabs>
          <w:tab w:val="clear" w:leader="none" w:pos="708"/>
          <w:tab w:val="left" w:leader="none" w:pos="1418"/>
        </w:tabs>
        <w:spacing/>
        <w:ind w:firstLine="426"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65"/>
        <w:numPr>
          <w:ilvl w:val="0"/>
          <w:numId w:val="10"/>
        </w:numPr>
        <w:pBdr/>
        <w:shd w:val="clear" w:color="auto" w:fill="ffffff"/>
        <w:tabs>
          <w:tab w:val="left" w:leader="none" w:pos="426"/>
          <w:tab w:val="clear" w:leader="none" w:pos="708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bCs/>
          <w:sz w:val="20"/>
          <w:szCs w:val="20"/>
          <w:shd w:val="clear" w:color="auto" w:fill="auto"/>
        </w:rPr>
        <w:t xml:space="preserve">Список приложений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left" w:leader="none" w:pos="426"/>
          <w:tab w:val="clear" w:leader="none" w:pos="708"/>
        </w:tabs>
        <w:spacing/>
        <w:ind w:firstLine="0" w:left="0"/>
        <w:jc w:val="center"/>
        <w:rPr>
          <w:highlight w:val="none"/>
        </w:rPr>
      </w:pPr>
      <w:r>
        <w:rPr>
          <w:b/>
          <w:bCs/>
          <w:sz w:val="20"/>
          <w:szCs w:val="20"/>
          <w:highlight w:val="none"/>
          <w:shd w:val="clear" w:color="auto" w:fill="auto"/>
        </w:rPr>
      </w:r>
      <w:r>
        <w:rPr>
          <w:b/>
          <w:bCs/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Приложение №1 – Регламентные работы по сервисному обслуживанию оборудования в газомикротурбинной тепловой электростанции (ГМТЭС) с. Кальвица, с.Ситта.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Приложение №2 - График работ по сервисному обслуживанию оборудования в газомикротурбинной тепловой электростанции (ГМТЭС) с. Кальвица, с.Ситта.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Приложение №3  - Форма (1) Акта об оказании Работ/услуг и Форма (2) Отчет об оказаний услуг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 w:eastAsia="en-US"/>
        </w:rPr>
        <w:t xml:space="preserve">Приложение №4 -</w:t>
      </w:r>
      <w:r>
        <w:rPr>
          <w:sz w:val="20"/>
          <w:szCs w:val="20"/>
          <w:shd w:val="clear" w:color="auto" w:fill="auto"/>
          <w:lang w:val="ru-RU"/>
        </w:rPr>
        <w:t xml:space="preserve"> </w:t>
      </w:r>
      <w:r>
        <w:rPr>
          <w:sz w:val="20"/>
          <w:szCs w:val="20"/>
          <w:shd w:val="clear" w:color="auto" w:fill="auto"/>
          <w:lang w:val="ru-RU" w:eastAsia="en-US"/>
        </w:rPr>
        <w:t xml:space="preserve">Стоимость Услуг по календарным месяцам.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Приложение №5 - Соглашение об обеспечении охраны труда, промышленной, пожарной и экологической безопасности.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clear" w:leader="none" w:pos="708"/>
          <w:tab w:val="left" w:leader="none" w:pos="1134"/>
          <w:tab w:val="left" w:leader="none" w:pos="2127"/>
          <w:tab w:val="left" w:leader="none" w:pos="2410"/>
        </w:tabs>
        <w:spacing/>
        <w:ind w:firstLine="0" w:left="0"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</w:rPr>
        <w:t xml:space="preserve">Приложение №6 </w:t>
      </w:r>
      <w:r>
        <w:rPr>
          <w:sz w:val="20"/>
          <w:szCs w:val="20"/>
          <w:shd w:val="clear" w:color="auto" w:fill="auto"/>
        </w:rPr>
        <w:t xml:space="preserve">–</w:t>
      </w:r>
      <w:r>
        <w:rPr>
          <w:bCs/>
          <w:sz w:val="20"/>
          <w:szCs w:val="20"/>
          <w:shd w:val="clear" w:color="auto" w:fill="auto"/>
        </w:rPr>
        <w:t xml:space="preserve"> Размер ответственности Исполнителя за нарушения пропускного и внутриобъектового режима, требований охраны труда, промышленной безопасности, пожарной безопасности, охраны окружающей среды, санитарно-эпидемиологических</w:t>
      </w:r>
      <w:r>
        <w:rPr>
          <w:sz w:val="20"/>
          <w:szCs w:val="20"/>
          <w:shd w:val="clear" w:color="auto" w:fill="auto"/>
        </w:rPr>
        <w:t xml:space="preserve"> правил и норм.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/>
      <w:r>
        <w:rPr>
          <w:sz w:val="20"/>
          <w:szCs w:val="20"/>
          <w:shd w:val="clear" w:color="auto" w:fill="auto"/>
          <w:lang w:val="ru-RU"/>
        </w:rPr>
        <w:t xml:space="preserve">Приложение №7- </w:t>
      </w:r>
      <w:r>
        <w:rPr>
          <w:sz w:val="20"/>
          <w:szCs w:val="20"/>
          <w:shd w:val="clear" w:color="auto" w:fill="auto"/>
          <w:lang w:val="ru-RU"/>
        </w:rPr>
        <w:t xml:space="preserve">М</w:t>
      </w:r>
      <w:r>
        <w:rPr>
          <w:sz w:val="20"/>
          <w:szCs w:val="20"/>
          <w:shd w:val="clear" w:color="auto" w:fill="auto"/>
          <w:lang w:val="ru-RU"/>
        </w:rPr>
        <w:t xml:space="preserve">етодика расчета упущенной выгоды (выручки) 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рынка, ранее относившейся к неценовой зоне оптового рынка Дальнего</w:t>
      </w:r>
      <w:r>
        <w:rPr>
          <w:sz w:val="20"/>
          <w:szCs w:val="20"/>
          <w:shd w:val="clear" w:color="auto" w:fill="auto"/>
          <w:lang w:val="ru-RU"/>
        </w:rPr>
        <w:t xml:space="preserve"> Востока</w:t>
      </w: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bCs/>
          <w:sz w:val="20"/>
          <w:szCs w:val="20"/>
          <w:shd w:val="clear" w:color="auto" w:fill="auto"/>
          <w:lang w:val="ru-RU"/>
        </w:rPr>
        <w:t xml:space="preserve">Приложение №8 - Форма информационного письма о системе налогообложения</w:t>
      </w:r>
      <w:r>
        <w:rPr>
          <w:rStyle w:val="802"/>
          <w:bCs/>
          <w:sz w:val="20"/>
          <w:szCs w:val="20"/>
          <w:shd w:val="clear" w:color="auto" w:fill="auto"/>
          <w:vertAlign w:val="superscript"/>
        </w:rPr>
        <w:footnoteReference w:id="3"/>
      </w:r>
      <w:r>
        <w:rPr>
          <w:bCs/>
          <w:sz w:val="20"/>
          <w:szCs w:val="20"/>
          <w:shd w:val="clear" w:color="auto" w:fill="auto"/>
          <w:lang w:val="ru-RU"/>
        </w:rPr>
        <w:t xml:space="preserve">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65"/>
        <w:pBdr/>
        <w:shd w:val="clear" w:color="auto" w:fill="ffffff"/>
        <w:tabs>
          <w:tab w:val="clear" w:leader="none" w:pos="708"/>
          <w:tab w:val="left" w:leader="none" w:pos="1134"/>
          <w:tab w:val="left" w:leader="none" w:pos="2127"/>
          <w:tab w:val="left" w:leader="none" w:pos="2410"/>
        </w:tabs>
        <w:spacing/>
        <w:ind w:firstLine="0" w:left="0"/>
        <w:rPr>
          <w:sz w:val="20"/>
          <w:szCs w:val="20"/>
          <w:highlight w:val="none"/>
          <w:shd w:val="clear" w:color="auto" w:fill="auto"/>
          <w:lang w:eastAsia="en-US"/>
        </w:rPr>
      </w:pPr>
      <w:r>
        <w:rPr>
          <w:sz w:val="20"/>
          <w:szCs w:val="20"/>
          <w:shd w:val="clear" w:color="auto" w:fill="auto"/>
          <w:lang w:eastAsia="en-US"/>
        </w:rPr>
      </w:r>
      <w:r>
        <w:rPr>
          <w:sz w:val="20"/>
          <w:szCs w:val="20"/>
          <w:highlight w:val="none"/>
          <w:shd w:val="clear" w:color="auto" w:fill="auto"/>
          <w:lang w:eastAsia="en-US"/>
        </w:rPr>
      </w:r>
      <w:r>
        <w:rPr>
          <w:sz w:val="20"/>
          <w:szCs w:val="20"/>
          <w:highlight w:val="none"/>
          <w:shd w:val="clear" w:color="auto" w:fill="auto"/>
          <w:lang w:eastAsia="en-US"/>
        </w:rPr>
      </w:r>
    </w:p>
    <w:p>
      <w:pPr>
        <w:pStyle w:val="865"/>
        <w:numPr>
          <w:ilvl w:val="0"/>
          <w:numId w:val="10"/>
        </w:numPr>
        <w:pBdr/>
        <w:shd w:val="clear" w:color="auto" w:fill="ffffff"/>
        <w:tabs>
          <w:tab w:val="left" w:leader="none" w:pos="426"/>
          <w:tab w:val="clear" w:leader="none" w:pos="708"/>
        </w:tabs>
        <w:spacing/>
        <w:ind w:firstLine="0" w:left="0"/>
        <w:jc w:val="center"/>
        <w:rPr>
          <w:highlight w:val="none"/>
          <w:shd w:val="clear" w:color="auto" w:fill="auto"/>
        </w:rPr>
      </w:pPr>
      <w:r>
        <w:rPr>
          <w:b/>
          <w:bCs/>
          <w:color w:val="000000"/>
          <w:sz w:val="20"/>
          <w:szCs w:val="20"/>
          <w:shd w:val="clear" w:color="auto" w:fill="auto"/>
        </w:rPr>
        <w:t xml:space="preserve">Адреса и платежные реквизиты Сторон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tbl>
      <w:tblPr>
        <w:tblW w:w="9287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643"/>
        <w:gridCol w:w="4643"/>
      </w:tblGrid>
      <w:tr>
        <w:trPr/>
        <w:tc>
          <w:tcPr>
            <w:tcBorders/>
            <w:tcW w:w="4643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</w:rPr>
              <w:t xml:space="preserve">ЗАКАЗЧИК: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/>
            <w:tcW w:w="4643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ИСПОЛНИТЕЛЬ</w:t>
            </w:r>
            <w:r>
              <w:rPr>
                <w:sz w:val="20"/>
                <w:szCs w:val="20"/>
                <w:shd w:val="clear" w:color="auto" w:fill="auto"/>
              </w:rPr>
              <w:t xml:space="preserve">:.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/>
        <w:tc>
          <w:tcPr>
            <w:tcBorders/>
            <w:tcW w:w="4643" w:type="dxa"/>
            <w:textDirection w:val="lrTb"/>
            <w:noWrap w:val="false"/>
          </w:tcPr>
          <w:p>
            <w:pPr>
              <w:pStyle w:val="880"/>
              <w:widowControl w:val="false"/>
              <w:pBdr/>
              <w:spacing/>
              <w:ind/>
              <w:jc w:val="both"/>
              <w:rPr>
                <w:rFonts w:ascii="Times New Roman" w:hAnsi="Times New Roman" w:cs="Times New Roman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shd w:val="clear" w:color="auto" w:fill="auto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shd w:val="clear" w:color="auto" w:fill="auto"/>
              </w:rPr>
            </w:r>
          </w:p>
          <w:p>
            <w:pPr>
              <w:pStyle w:val="880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АО «Сахаэнерго»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80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Юр. адрес: Российская Федерация, 678400, Республика Саха (Якутия), Булунский улус, п. Тикси, ул. Морская, д.5, корпус 1.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80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Почтовый адрес: 677001, г. Якутск, пер. Энергетиков, 2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80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Тел. 8(4112) 49-74-21, 21-01-15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80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Факс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  <w:lang w:val="en-US"/>
              </w:rPr>
              <w:t xml:space="preserve"> 8(4112) 49-72-49, 49-75-11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80"/>
              <w:widowControl w:val="false"/>
              <w:pBdr/>
              <w:spacing/>
              <w:ind/>
              <w:jc w:val="both"/>
              <w:rPr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  <w:lang w:val="en-US"/>
              </w:rPr>
              <w:t xml:space="preserve">E-mail: </w:t>
            </w:r>
            <w:hyperlink r:id="rId12" w:tooltip="mailto:mail@sakhaenergo.ru" w:history="1">
              <w:r>
                <w:rPr>
                  <w:rStyle w:val="806"/>
                  <w:rFonts w:ascii="Times New Roman" w:hAnsi="Times New Roman" w:cs="Times New Roman"/>
                  <w:sz w:val="24"/>
                  <w:szCs w:val="24"/>
                  <w:shd w:val="clear" w:color="auto" w:fill="auto"/>
                  <w:lang w:val="en-US"/>
                </w:rPr>
                <w:t xml:space="preserve">mail@sakhaenergo.ru</w:t>
              </w:r>
            </w:hyperlink>
            <w:r/>
            <w:r/>
          </w:p>
          <w:p>
            <w:pPr>
              <w:pStyle w:val="880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ИНН/КПП 1435117944/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auto"/>
              </w:rPr>
              <w:t xml:space="preserve">140601001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80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ОГРН 1021401044830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80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ОКПО 55658092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80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Филиал ПАО Банк ВТБ в г. Хабаровске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80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расч. счет 40702810614020000113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80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корр. счет 30101810400000000727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80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БИК 040813727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</w:tc>
        <w:tc>
          <w:tcPr>
            <w:tcBorders/>
            <w:tcW w:w="4643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_________________________________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(наименование юридического лица)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Место нахождения: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_________________________________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Почтовый адрес: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_________________________________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ОГРН: ___________________________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ИНН / КПП: _______________________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_________________________________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(номер расчетного счета)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_________________________________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(наименование банка, в котором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открыт расчетный счет)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_________________________________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(номер корреспондентского счета банка)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_________________________________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(БИК банка)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_________________________________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(номер телефона)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_________________________________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(номер факса)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</w:tc>
      </w:tr>
    </w:tbl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  <w:t xml:space="preserve">Приложение  №1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к договору______________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от « ___ » ________202__г.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center"/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b/>
          <w:sz w:val="20"/>
          <w:szCs w:val="20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center"/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b/>
          <w:sz w:val="20"/>
          <w:szCs w:val="20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center"/>
        <w:rPr>
          <w:highlight w:val="none"/>
          <w:shd w:val="clear" w:color="auto" w:fill="auto"/>
        </w:rPr>
      </w:pPr>
      <w:r>
        <w:rPr>
          <w:rFonts w:ascii="Times New Roman" w:hAnsi="Times New Roman"/>
          <w:b/>
          <w:sz w:val="20"/>
          <w:szCs w:val="20"/>
          <w:shd w:val="clear" w:color="auto" w:fill="auto"/>
        </w:rPr>
        <w:t xml:space="preserve">Регламентные работы по сервисному обслуживанию </w:t>
      </w:r>
      <w:r>
        <w:rPr>
          <w:rFonts w:ascii="Times New Roman" w:hAnsi="Times New Roman" w:eastAsia="Times New Roman"/>
          <w:b/>
          <w:sz w:val="20"/>
          <w:szCs w:val="20"/>
          <w:shd w:val="clear" w:color="auto" w:fill="auto"/>
          <w:lang w:eastAsia="ru-RU"/>
        </w:rPr>
        <w:t xml:space="preserve">оборудования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78"/>
        <w:pBdr/>
        <w:spacing/>
        <w:ind/>
        <w:jc w:val="center"/>
        <w:rPr>
          <w:highlight w:val="none"/>
          <w:shd w:val="clear" w:color="auto" w:fill="auto"/>
        </w:rPr>
      </w:pPr>
      <w:r>
        <w:rPr>
          <w:rFonts w:ascii="Times New Roman" w:hAnsi="Times New Roman" w:eastAsia="Times New Roman"/>
          <w:b/>
          <w:sz w:val="20"/>
          <w:szCs w:val="20"/>
          <w:shd w:val="clear" w:color="auto" w:fill="auto"/>
          <w:lang w:eastAsia="ru-RU"/>
        </w:rPr>
        <w:t xml:space="preserve">в газомикротурбинной тепловой электростанции (ГМТЭС) с. Кальвица, с.Ситта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78"/>
        <w:pBdr/>
        <w:spacing/>
        <w:ind/>
        <w:jc w:val="center"/>
        <w:rPr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  <w:t xml:space="preserve">      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tbl>
      <w:tblPr>
        <w:tblW w:w="9463" w:type="dxa"/>
        <w:jc w:val="center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23"/>
        <w:gridCol w:w="6364"/>
        <w:gridCol w:w="1561"/>
        <w:gridCol w:w="1114"/>
      </w:tblGrid>
      <w:tr>
        <w:trPr>
          <w:cantSplit/>
          <w:trHeight w:val="10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3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№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64" w:type="dxa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</w:p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</w:p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Выполняемые  работы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5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Вид работ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7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62" w:type="dxa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Техническое обслуживание газовых водогрейных  котлов Buderus Logano S825L LN,  ICI REX-100 на объектах ГМТЭС с.Ситте, с. Кальвица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3" w:type="dxa"/>
            <w:textDirection w:val="lrTb"/>
            <w:noWrap w:val="false"/>
          </w:tcPr>
          <w:p>
            <w:pPr>
              <w:pStyle w:val="878"/>
              <w:widowControl w:val="false"/>
              <w:numPr>
                <w:ilvl w:val="0"/>
                <w:numId w:val="16"/>
              </w:numPr>
              <w:pBdr/>
              <w:tabs>
                <w:tab w:val="left" w:leader="none" w:pos="284"/>
                <w:tab w:val="clear" w:leader="none" w:pos="708"/>
                <w:tab w:val="left" w:leader="none" w:pos="6945"/>
              </w:tabs>
              <w:spacing/>
              <w:ind w:right="-392" w:firstLine="176" w:left="-284"/>
              <w:jc w:val="center"/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64" w:type="dxa"/>
            <w:vAlign w:val="center"/>
            <w:textDirection w:val="lrTb"/>
            <w:noWrap w:val="false"/>
          </w:tcPr>
          <w:p>
            <w:pPr>
              <w:pStyle w:val="879"/>
              <w:widowControl w:val="false"/>
              <w:pBdr/>
              <w:shd w:val="clear" w:color="auto" w:fill="auto"/>
              <w:tabs>
                <w:tab w:val="left" w:leader="none" w:pos="187"/>
                <w:tab w:val="clear" w:leader="none" w:pos="708"/>
              </w:tabs>
              <w:spacing/>
              <w:ind w:firstLine="0" w:left="0"/>
              <w:jc w:val="left"/>
              <w:rPr/>
            </w:pPr>
            <w:r>
              <w:rPr>
                <w:rStyle w:val="829"/>
                <w:b/>
                <w:bCs/>
                <w:shd w:val="clear" w:color="auto" w:fill="auto"/>
              </w:rPr>
              <w:t xml:space="preserve">Работы по топочной камере и тракту дымовых газов (инструкция по монтажу,эксплуатации и техническому обслуживанию 0701 3962 - 05/2000 RU) :</w:t>
            </w:r>
            <w:r/>
          </w:p>
          <w:p>
            <w:pPr>
              <w:pStyle w:val="879"/>
              <w:widowControl w:val="false"/>
              <w:numPr>
                <w:ilvl w:val="0"/>
                <w:numId w:val="17"/>
              </w:numPr>
              <w:pBdr/>
              <w:shd w:val="clear" w:color="auto" w:fill="auto"/>
              <w:tabs>
                <w:tab w:val="left" w:leader="none" w:pos="187"/>
                <w:tab w:val="clear" w:leader="none" w:pos="708"/>
              </w:tabs>
              <w:spacing/>
              <w:ind/>
              <w:jc w:val="left"/>
              <w:rPr/>
            </w:pPr>
            <w:r>
              <w:rPr>
                <w:rStyle w:val="829"/>
                <w:b w:val="0"/>
                <w:bCs w:val="0"/>
                <w:shd w:val="clear" w:color="auto" w:fill="auto"/>
              </w:rPr>
              <w:t xml:space="preserve">Вскрытие и чистка дымогарных труб специальными щетками и/или аэрозольным оборудованием.</w:t>
            </w:r>
            <w:r/>
          </w:p>
          <w:p>
            <w:pPr>
              <w:pStyle w:val="879"/>
              <w:widowControl w:val="false"/>
              <w:numPr>
                <w:ilvl w:val="0"/>
                <w:numId w:val="17"/>
              </w:numPr>
              <w:pBdr/>
              <w:shd w:val="clear" w:color="auto" w:fill="auto"/>
              <w:tabs>
                <w:tab w:val="left" w:leader="none" w:pos="187"/>
                <w:tab w:val="clear" w:leader="none" w:pos="708"/>
              </w:tabs>
              <w:spacing/>
              <w:ind/>
              <w:jc w:val="left"/>
              <w:rPr/>
            </w:pPr>
            <w:r>
              <w:rPr>
                <w:rStyle w:val="829"/>
                <w:b w:val="0"/>
                <w:bCs w:val="0"/>
                <w:shd w:val="clear" w:color="auto" w:fill="auto"/>
              </w:rPr>
              <w:t xml:space="preserve">Чистка жаровой трубы и камеры сгорания.</w:t>
            </w:r>
            <w:r/>
          </w:p>
          <w:p>
            <w:pPr>
              <w:pStyle w:val="879"/>
              <w:widowControl w:val="false"/>
              <w:numPr>
                <w:ilvl w:val="0"/>
                <w:numId w:val="17"/>
              </w:numPr>
              <w:pBdr/>
              <w:shd w:val="clear" w:color="auto" w:fill="auto"/>
              <w:tabs>
                <w:tab w:val="left" w:leader="none" w:pos="187"/>
                <w:tab w:val="clear" w:leader="none" w:pos="708"/>
              </w:tabs>
              <w:spacing/>
              <w:ind/>
              <w:jc w:val="left"/>
              <w:rPr/>
            </w:pPr>
            <w:r>
              <w:rPr>
                <w:rStyle w:val="829"/>
                <w:b w:val="0"/>
                <w:bCs w:val="0"/>
                <w:shd w:val="clear" w:color="auto" w:fill="auto"/>
              </w:rPr>
              <w:t xml:space="preserve">Чистка задней трубной решетки и отводного канала дымовых газов.</w:t>
            </w:r>
            <w:r/>
          </w:p>
          <w:p>
            <w:pPr>
              <w:pStyle w:val="879"/>
              <w:widowControl w:val="false"/>
              <w:numPr>
                <w:ilvl w:val="0"/>
                <w:numId w:val="17"/>
              </w:numPr>
              <w:pBdr/>
              <w:shd w:val="clear" w:color="auto" w:fill="auto"/>
              <w:tabs>
                <w:tab w:val="left" w:leader="none" w:pos="187"/>
                <w:tab w:val="clear" w:leader="none" w:pos="708"/>
              </w:tabs>
              <w:spacing/>
              <w:ind/>
              <w:jc w:val="left"/>
              <w:rPr/>
            </w:pPr>
            <w:r>
              <w:rPr>
                <w:rStyle w:val="829"/>
                <w:b w:val="0"/>
                <w:bCs w:val="0"/>
                <w:shd w:val="clear" w:color="auto" w:fill="auto"/>
              </w:rPr>
              <w:t xml:space="preserve">Проверка состояния футеровки (огнеупорной кладки) топочной камеры, устранение мелких повреждений.</w:t>
            </w:r>
            <w:r/>
          </w:p>
          <w:p>
            <w:pPr>
              <w:pStyle w:val="879"/>
              <w:widowControl w:val="false"/>
              <w:numPr>
                <w:ilvl w:val="0"/>
                <w:numId w:val="17"/>
              </w:numPr>
              <w:pBdr/>
              <w:shd w:val="clear" w:color="auto" w:fill="auto"/>
              <w:tabs>
                <w:tab w:val="left" w:leader="none" w:pos="187"/>
                <w:tab w:val="clear" w:leader="none" w:pos="708"/>
              </w:tabs>
              <w:spacing/>
              <w:ind/>
              <w:jc w:val="left"/>
              <w:rPr/>
            </w:pPr>
            <w:r>
              <w:rPr>
                <w:rStyle w:val="829"/>
                <w:b w:val="0"/>
                <w:bCs w:val="0"/>
                <w:shd w:val="clear" w:color="auto" w:fill="auto"/>
              </w:rPr>
              <w:t xml:space="preserve">Проверка и замена уплотнительных шнуров на дверце котла и ревизионных люках.</w:t>
            </w:r>
            <w:r/>
          </w:p>
          <w:p>
            <w:pPr>
              <w:pStyle w:val="879"/>
              <w:widowControl w:val="false"/>
              <w:numPr>
                <w:ilvl w:val="0"/>
                <w:numId w:val="17"/>
              </w:numPr>
              <w:pBdr/>
              <w:shd w:val="clear" w:color="auto" w:fill="auto"/>
              <w:tabs>
                <w:tab w:val="left" w:leader="none" w:pos="187"/>
                <w:tab w:val="clear" w:leader="none" w:pos="708"/>
              </w:tabs>
              <w:spacing/>
              <w:ind/>
              <w:jc w:val="left"/>
              <w:rPr/>
            </w:pPr>
            <w:r>
              <w:rPr>
                <w:rStyle w:val="829"/>
                <w:b w:val="0"/>
                <w:bCs w:val="0"/>
                <w:shd w:val="clear" w:color="auto" w:fill="auto"/>
              </w:rPr>
              <w:t xml:space="preserve">Проверка герметичности тракта дымовых газов.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3" w:type="dxa"/>
            <w:textDirection w:val="lrTb"/>
            <w:noWrap w:val="false"/>
          </w:tcPr>
          <w:p>
            <w:pPr>
              <w:pStyle w:val="878"/>
              <w:widowControl w:val="false"/>
              <w:numPr>
                <w:ilvl w:val="0"/>
                <w:numId w:val="16"/>
              </w:numPr>
              <w:pBdr/>
              <w:tabs>
                <w:tab w:val="left" w:leader="none" w:pos="284"/>
                <w:tab w:val="clear" w:leader="none" w:pos="708"/>
                <w:tab w:val="left" w:leader="none" w:pos="6945"/>
              </w:tabs>
              <w:spacing/>
              <w:ind w:right="-392" w:firstLine="176" w:left="-284"/>
              <w:jc w:val="center"/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64" w:type="dxa"/>
            <w:vAlign w:val="center"/>
            <w:textDirection w:val="lrTb"/>
            <w:noWrap w:val="false"/>
          </w:tcPr>
          <w:p>
            <w:pPr>
              <w:pStyle w:val="879"/>
              <w:widowControl w:val="false"/>
              <w:pBdr/>
              <w:shd w:val="clear" w:color="auto" w:fill="auto"/>
              <w:spacing/>
              <w:ind/>
              <w:jc w:val="left"/>
              <w:rPr/>
            </w:pPr>
            <w:r>
              <w:rPr>
                <w:rStyle w:val="829"/>
                <w:b/>
                <w:bCs/>
                <w:shd w:val="clear" w:color="auto" w:fill="auto"/>
              </w:rPr>
              <w:t xml:space="preserve">Работы по водяному контуру</w:t>
            </w:r>
            <w:r/>
          </w:p>
          <w:p>
            <w:pPr>
              <w:pStyle w:val="879"/>
              <w:widowControl w:val="false"/>
              <w:numPr>
                <w:ilvl w:val="0"/>
                <w:numId w:val="20"/>
              </w:numPr>
              <w:pBdr/>
              <w:shd w:val="clear" w:color="auto" w:fill="auto"/>
              <w:spacing/>
              <w:ind w:right="0" w:hanging="142" w:left="142"/>
              <w:jc w:val="both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Вскрытие ревизионных (смотровых) люков.</w:t>
            </w:r>
            <w:r/>
          </w:p>
          <w:p>
            <w:pPr>
              <w:pStyle w:val="879"/>
              <w:widowControl w:val="false"/>
              <w:numPr>
                <w:ilvl w:val="0"/>
                <w:numId w:val="20"/>
              </w:numPr>
              <w:pBdr/>
              <w:shd w:val="clear" w:color="auto" w:fill="auto"/>
              <w:spacing/>
              <w:ind w:right="0" w:hanging="142" w:left="142"/>
              <w:jc w:val="both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Внутренний осмотр водяного контура на предмет отложений накипи, шлама и коррозии.</w:t>
            </w:r>
            <w:r/>
          </w:p>
          <w:p>
            <w:pPr>
              <w:pStyle w:val="879"/>
              <w:widowControl w:val="false"/>
              <w:numPr>
                <w:ilvl w:val="0"/>
                <w:numId w:val="20"/>
              </w:numPr>
              <w:pBdr/>
              <w:shd w:val="clear" w:color="auto" w:fill="auto"/>
              <w:spacing/>
              <w:ind w:right="0" w:hanging="142" w:left="142"/>
              <w:jc w:val="both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Механическая очистка поверхностей нагрева при обнаружении отложений.</w:t>
            </w:r>
            <w:r/>
          </w:p>
          <w:p>
            <w:pPr>
              <w:pStyle w:val="879"/>
              <w:widowControl w:val="false"/>
              <w:numPr>
                <w:ilvl w:val="0"/>
                <w:numId w:val="20"/>
              </w:numPr>
              <w:pBdr/>
              <w:shd w:val="clear" w:color="auto" w:fill="auto"/>
              <w:spacing/>
              <w:ind w:right="0" w:hanging="142" w:left="142"/>
              <w:jc w:val="both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Замена уплотнений на всех ревизионных люках (обязательная процедура после вскрытия).</w:t>
            </w:r>
            <w:r/>
          </w:p>
          <w:p>
            <w:pPr>
              <w:pStyle w:val="879"/>
              <w:widowControl w:val="false"/>
              <w:numPr>
                <w:ilvl w:val="0"/>
                <w:numId w:val="20"/>
              </w:numPr>
              <w:pBdr/>
              <w:shd w:val="clear" w:color="auto" w:fill="auto"/>
              <w:spacing/>
              <w:ind w:right="0" w:hanging="142" w:left="142"/>
              <w:jc w:val="both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Проверка герметичности гильз для датчиков температуры, фланцевых соединений и запорной арматуры.</w:t>
            </w:r>
            <w:r/>
          </w:p>
          <w:p>
            <w:pPr>
              <w:pStyle w:val="879"/>
              <w:widowControl w:val="false"/>
              <w:numPr>
                <w:ilvl w:val="0"/>
                <w:numId w:val="20"/>
              </w:numPr>
              <w:pBdr/>
              <w:shd w:val="clear" w:color="auto" w:fill="auto"/>
              <w:spacing/>
              <w:ind w:right="0" w:hanging="142" w:left="142"/>
              <w:jc w:val="both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Проверка работоспособности и опрессовка предохранительного клапана.</w:t>
            </w:r>
            <w:r/>
          </w:p>
          <w:p>
            <w:pPr>
              <w:pStyle w:val="879"/>
              <w:widowControl w:val="false"/>
              <w:numPr>
                <w:ilvl w:val="0"/>
                <w:numId w:val="20"/>
              </w:numPr>
              <w:pBdr/>
              <w:shd w:val="clear" w:color="auto" w:fill="auto"/>
              <w:spacing/>
              <w:ind w:right="0" w:hanging="142" w:left="142"/>
              <w:jc w:val="both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Промывка котлов с использованием химических реагентов производства РФ;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3" w:type="dxa"/>
            <w:textDirection w:val="lrTb"/>
            <w:noWrap w:val="false"/>
          </w:tcPr>
          <w:p>
            <w:pPr>
              <w:pStyle w:val="878"/>
              <w:widowControl w:val="false"/>
              <w:numPr>
                <w:ilvl w:val="0"/>
                <w:numId w:val="16"/>
              </w:numPr>
              <w:pBdr/>
              <w:tabs>
                <w:tab w:val="left" w:leader="none" w:pos="284"/>
                <w:tab w:val="clear" w:leader="none" w:pos="708"/>
                <w:tab w:val="left" w:leader="none" w:pos="6945"/>
              </w:tabs>
              <w:spacing/>
              <w:ind w:right="-392" w:firstLine="176" w:left="-284"/>
              <w:jc w:val="center"/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64" w:type="dxa"/>
            <w:vAlign w:val="center"/>
            <w:textDirection w:val="lrTb"/>
            <w:noWrap w:val="false"/>
          </w:tcPr>
          <w:p>
            <w:pPr>
              <w:pStyle w:val="879"/>
              <w:widowControl w:val="false"/>
              <w:pBdr/>
              <w:shd w:val="clear" w:color="auto" w:fill="auto"/>
              <w:spacing/>
              <w:ind/>
              <w:jc w:val="left"/>
              <w:rPr/>
            </w:pPr>
            <w:r>
              <w:rPr>
                <w:rStyle w:val="829"/>
                <w:b/>
                <w:bCs/>
                <w:shd w:val="clear" w:color="auto" w:fill="auto"/>
              </w:rPr>
              <w:t xml:space="preserve">Обслуживание горелочного устройства</w:t>
            </w:r>
            <w:r/>
          </w:p>
          <w:p>
            <w:pPr>
              <w:pStyle w:val="879"/>
              <w:widowControl w:val="false"/>
              <w:numPr>
                <w:ilvl w:val="0"/>
                <w:numId w:val="21"/>
              </w:numPr>
              <w:pBdr/>
              <w:shd w:val="clear" w:color="auto" w:fill="auto"/>
              <w:spacing/>
              <w:ind w:right="0" w:hanging="142" w:left="142"/>
              <w:jc w:val="both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Чистка горелки от нагара и пыли.</w:t>
            </w:r>
            <w:r/>
          </w:p>
          <w:p>
            <w:pPr>
              <w:pStyle w:val="879"/>
              <w:widowControl w:val="false"/>
              <w:numPr>
                <w:ilvl w:val="0"/>
                <w:numId w:val="21"/>
              </w:numPr>
              <w:pBdr/>
              <w:shd w:val="clear" w:color="auto" w:fill="auto"/>
              <w:spacing/>
              <w:ind w:right="0" w:hanging="142" w:left="142"/>
              <w:jc w:val="both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Проверка и очистка фильтров на линии подачи топлива.</w:t>
            </w:r>
            <w:r/>
          </w:p>
          <w:p>
            <w:pPr>
              <w:pStyle w:val="879"/>
              <w:widowControl w:val="false"/>
              <w:numPr>
                <w:ilvl w:val="0"/>
                <w:numId w:val="21"/>
              </w:numPr>
              <w:pBdr/>
              <w:shd w:val="clear" w:color="auto" w:fill="auto"/>
              <w:spacing/>
              <w:ind w:right="0" w:hanging="142" w:left="142"/>
              <w:jc w:val="both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Проверка состояния форсунок (для дизельных горелок), электродов розжига и ионизации.</w:t>
            </w:r>
            <w:r/>
          </w:p>
          <w:p>
            <w:pPr>
              <w:pStyle w:val="879"/>
              <w:widowControl w:val="false"/>
              <w:numPr>
                <w:ilvl w:val="0"/>
                <w:numId w:val="21"/>
              </w:numPr>
              <w:pBdr/>
              <w:shd w:val="clear" w:color="auto" w:fill="auto"/>
              <w:spacing/>
              <w:ind w:right="0" w:hanging="142" w:left="142"/>
              <w:jc w:val="both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Проверка герметичности топливопроводов и соединений.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3" w:type="dxa"/>
            <w:textDirection w:val="lrTb"/>
            <w:noWrap w:val="false"/>
          </w:tcPr>
          <w:p>
            <w:pPr>
              <w:pStyle w:val="878"/>
              <w:widowControl w:val="false"/>
              <w:numPr>
                <w:ilvl w:val="0"/>
                <w:numId w:val="16"/>
              </w:numPr>
              <w:pBdr/>
              <w:tabs>
                <w:tab w:val="left" w:leader="none" w:pos="284"/>
                <w:tab w:val="clear" w:leader="none" w:pos="708"/>
                <w:tab w:val="left" w:leader="none" w:pos="6945"/>
              </w:tabs>
              <w:spacing/>
              <w:ind w:right="-392" w:firstLine="176" w:left="-284"/>
              <w:jc w:val="center"/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64" w:type="dxa"/>
            <w:vAlign w:val="center"/>
            <w:textDirection w:val="lrTb"/>
            <w:noWrap w:val="false"/>
          </w:tcPr>
          <w:p>
            <w:pPr>
              <w:pStyle w:val="879"/>
              <w:widowControl w:val="false"/>
              <w:pBdr/>
              <w:shd w:val="clear" w:color="auto" w:fill="auto"/>
              <w:spacing/>
              <w:ind/>
              <w:jc w:val="both"/>
              <w:rPr/>
            </w:pPr>
            <w:r>
              <w:rPr>
                <w:rStyle w:val="829"/>
                <w:b/>
                <w:bCs/>
                <w:shd w:val="clear" w:color="auto" w:fill="auto"/>
              </w:rPr>
              <w:t xml:space="preserve">Проверка и настройка систем управления и безопасности</w:t>
            </w:r>
            <w:r/>
          </w:p>
          <w:p>
            <w:pPr>
              <w:pStyle w:val="879"/>
              <w:widowControl w:val="false"/>
              <w:pBdr/>
              <w:shd w:val="clear" w:color="auto" w:fill="auto"/>
              <w:spacing/>
              <w:ind/>
              <w:jc w:val="both"/>
              <w:rPr/>
            </w:pPr>
            <w:r>
              <w:rPr>
                <w:rStyle w:val="829"/>
                <w:b/>
                <w:bCs/>
                <w:shd w:val="clear" w:color="auto" w:fill="auto"/>
              </w:rPr>
              <w:t xml:space="preserve">Проверка калибровки и работоспособности всех предохранительных устройств:</w:t>
            </w:r>
            <w:r/>
          </w:p>
          <w:p>
            <w:pPr>
              <w:pStyle w:val="879"/>
              <w:widowControl w:val="false"/>
              <w:numPr>
                <w:ilvl w:val="0"/>
                <w:numId w:val="22"/>
              </w:numPr>
              <w:pBdr/>
              <w:shd w:val="clear" w:color="auto" w:fill="auto"/>
              <w:spacing/>
              <w:ind w:right="0" w:hanging="142" w:left="142"/>
              <w:jc w:val="left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Ограничители температуры (макс. и мин.).</w:t>
            </w:r>
            <w:r/>
          </w:p>
          <w:p>
            <w:pPr>
              <w:pStyle w:val="879"/>
              <w:widowControl w:val="false"/>
              <w:numPr>
                <w:ilvl w:val="0"/>
                <w:numId w:val="22"/>
              </w:numPr>
              <w:pBdr/>
              <w:shd w:val="clear" w:color="auto" w:fill="auto"/>
              <w:spacing/>
              <w:ind w:right="0" w:hanging="142" w:left="142"/>
              <w:jc w:val="left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Ограничители давления (макс. и мин.).</w:t>
            </w:r>
            <w:r/>
          </w:p>
          <w:p>
            <w:pPr>
              <w:pStyle w:val="879"/>
              <w:widowControl w:val="false"/>
              <w:numPr>
                <w:ilvl w:val="0"/>
                <w:numId w:val="22"/>
              </w:numPr>
              <w:pBdr/>
              <w:shd w:val="clear" w:color="auto" w:fill="auto"/>
              <w:spacing/>
              <w:ind w:right="0" w:hanging="142" w:left="142"/>
              <w:jc w:val="left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Ограничитель уровня воды.</w:t>
            </w:r>
            <w:r/>
          </w:p>
          <w:p>
            <w:pPr>
              <w:pStyle w:val="879"/>
              <w:widowControl w:val="false"/>
              <w:numPr>
                <w:ilvl w:val="0"/>
                <w:numId w:val="22"/>
              </w:numPr>
              <w:pBdr/>
              <w:shd w:val="clear" w:color="auto" w:fill="auto"/>
              <w:spacing/>
              <w:ind w:right="0" w:hanging="142" w:left="142"/>
              <w:jc w:val="left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Аварийный выключатель.</w:t>
            </w:r>
            <w:r/>
          </w:p>
          <w:p>
            <w:pPr>
              <w:pStyle w:val="879"/>
              <w:widowControl w:val="false"/>
              <w:numPr>
                <w:ilvl w:val="0"/>
                <w:numId w:val="22"/>
              </w:numPr>
              <w:pBdr/>
              <w:shd w:val="clear" w:color="auto" w:fill="auto"/>
              <w:spacing/>
              <w:ind w:right="0" w:hanging="142" w:left="142"/>
              <w:jc w:val="left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Термостат перегрева.</w:t>
            </w:r>
            <w:r/>
          </w:p>
          <w:p>
            <w:pPr>
              <w:pStyle w:val="879"/>
              <w:widowControl w:val="false"/>
              <w:numPr>
                <w:ilvl w:val="0"/>
                <w:numId w:val="23"/>
              </w:numPr>
              <w:pBdr/>
              <w:shd w:val="clear" w:color="auto" w:fill="auto"/>
              <w:spacing/>
              <w:ind w:right="0" w:hanging="142" w:left="142"/>
              <w:jc w:val="left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Проверка показаний и точности манометров, термометров.</w:t>
            </w:r>
            <w:r/>
          </w:p>
          <w:p>
            <w:pPr>
              <w:pStyle w:val="879"/>
              <w:widowControl w:val="false"/>
              <w:numPr>
                <w:ilvl w:val="0"/>
                <w:numId w:val="23"/>
              </w:numPr>
              <w:pBdr/>
              <w:shd w:val="clear" w:color="auto" w:fill="auto"/>
              <w:spacing/>
              <w:ind w:right="0" w:hanging="142" w:left="142"/>
              <w:jc w:val="left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Проверка работы контроллера горелки, настройка параметров горения (после завершения чистки).</w:t>
            </w:r>
            <w:r/>
          </w:p>
          <w:p>
            <w:pPr>
              <w:pStyle w:val="879"/>
              <w:widowControl w:val="false"/>
              <w:numPr>
                <w:ilvl w:val="0"/>
                <w:numId w:val="23"/>
              </w:numPr>
              <w:pBdr/>
              <w:shd w:val="clear" w:color="auto" w:fill="auto"/>
              <w:spacing/>
              <w:ind w:right="0" w:hanging="142" w:left="142"/>
              <w:jc w:val="left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Проверка электрических соединений в клеммных коробках и шкафу управления.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3" w:type="dxa"/>
            <w:textDirection w:val="lrTb"/>
            <w:noWrap w:val="false"/>
          </w:tcPr>
          <w:p>
            <w:pPr>
              <w:pStyle w:val="878"/>
              <w:widowControl w:val="false"/>
              <w:numPr>
                <w:ilvl w:val="0"/>
                <w:numId w:val="16"/>
              </w:numPr>
              <w:pBdr/>
              <w:tabs>
                <w:tab w:val="left" w:leader="none" w:pos="284"/>
                <w:tab w:val="clear" w:leader="none" w:pos="708"/>
                <w:tab w:val="left" w:leader="none" w:pos="6945"/>
              </w:tabs>
              <w:spacing/>
              <w:ind w:right="-392" w:firstLine="176" w:left="-284"/>
              <w:jc w:val="center"/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64" w:type="dxa"/>
            <w:vAlign w:val="center"/>
            <w:textDirection w:val="lrTb"/>
            <w:noWrap w:val="false"/>
          </w:tcPr>
          <w:p>
            <w:pPr>
              <w:pStyle w:val="879"/>
              <w:widowControl w:val="false"/>
              <w:pBdr/>
              <w:shd w:val="clear" w:color="auto" w:fill="auto"/>
              <w:spacing/>
              <w:ind/>
              <w:jc w:val="both"/>
              <w:rPr/>
            </w:pPr>
            <w:r>
              <w:rPr>
                <w:rStyle w:val="829"/>
                <w:b/>
                <w:bCs/>
                <w:shd w:val="clear" w:color="auto" w:fill="auto"/>
              </w:rPr>
              <w:t xml:space="preserve">Пуско-наладочные работы и итоговый контроль:</w:t>
            </w:r>
            <w:r/>
          </w:p>
          <w:p>
            <w:pPr>
              <w:pStyle w:val="767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shd w:val="clear" w:color="auto" w:fill="auto"/>
              </w:rPr>
              <w:t xml:space="preserve">Заполнение системы подготовленной водой, соответствующей нормативам Buderus.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38"/>
              <w:widowControl w:val="false"/>
              <w:numPr>
                <w:ilvl w:val="0"/>
                <w:numId w:val="24"/>
              </w:numPr>
              <w:pBdr/>
              <w:tabs>
                <w:tab w:val="left" w:leader="none" w:pos="283"/>
                <w:tab w:val="left" w:leader="none" w:pos="425"/>
                <w:tab w:val="clear" w:leader="none" w:pos="708"/>
              </w:tabs>
              <w:spacing/>
              <w:ind w:right="0" w:firstLine="0" w:left="0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sz w:val="20"/>
                <w:szCs w:val="20"/>
                <w:shd w:val="clear" w:color="auto" w:fill="auto"/>
              </w:rPr>
              <w:t xml:space="preserve">Удаление воздуха из системы.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38"/>
              <w:widowControl w:val="false"/>
              <w:numPr>
                <w:ilvl w:val="0"/>
                <w:numId w:val="24"/>
              </w:numPr>
              <w:pBdr/>
              <w:tabs>
                <w:tab w:val="left" w:leader="none" w:pos="283"/>
                <w:tab w:val="left" w:leader="none" w:pos="425"/>
                <w:tab w:val="clear" w:leader="none" w:pos="708"/>
              </w:tabs>
              <w:spacing/>
              <w:ind w:right="0" w:firstLine="0" w:left="0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sz w:val="20"/>
                <w:szCs w:val="20"/>
                <w:shd w:val="clear" w:color="auto" w:fill="auto"/>
              </w:rPr>
              <w:t xml:space="preserve">Пробный пуск котла и проверка на всех режимах работы.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38"/>
              <w:widowControl w:val="false"/>
              <w:numPr>
                <w:ilvl w:val="0"/>
                <w:numId w:val="24"/>
              </w:numPr>
              <w:pBdr/>
              <w:tabs>
                <w:tab w:val="left" w:leader="none" w:pos="283"/>
                <w:tab w:val="left" w:leader="none" w:pos="425"/>
                <w:tab w:val="clear" w:leader="none" w:pos="708"/>
              </w:tabs>
              <w:spacing/>
              <w:ind w:right="0" w:firstLine="0" w:left="0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sz w:val="20"/>
                <w:szCs w:val="20"/>
                <w:shd w:val="clear" w:color="auto" w:fill="auto"/>
              </w:rPr>
              <w:t xml:space="preserve">Контрольный замер параметров дымовых газов (температура, содержание O₂, CO) для оценки качества горения и настройки горелки.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38"/>
              <w:widowControl w:val="false"/>
              <w:numPr>
                <w:ilvl w:val="0"/>
                <w:numId w:val="24"/>
              </w:numPr>
              <w:pBdr/>
              <w:tabs>
                <w:tab w:val="left" w:leader="none" w:pos="283"/>
                <w:tab w:val="left" w:leader="none" w:pos="425"/>
                <w:tab w:val="clear" w:leader="none" w:pos="708"/>
              </w:tabs>
              <w:spacing/>
              <w:ind w:right="0" w:firstLine="0" w:left="0"/>
              <w:jc w:val="both"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sz w:val="20"/>
                <w:szCs w:val="20"/>
                <w:shd w:val="clear" w:color="auto" w:fill="auto"/>
              </w:rPr>
              <w:t xml:space="preserve">Проверка всех соединений на предмет утечек теплоносителя и топлива под рабочим давлением.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3" w:type="dxa"/>
            <w:textDirection w:val="lrTb"/>
            <w:noWrap w:val="false"/>
          </w:tcPr>
          <w:p>
            <w:pPr>
              <w:pStyle w:val="878"/>
              <w:widowControl w:val="false"/>
              <w:numPr>
                <w:ilvl w:val="0"/>
                <w:numId w:val="16"/>
              </w:numPr>
              <w:pBdr/>
              <w:tabs>
                <w:tab w:val="left" w:leader="none" w:pos="284"/>
                <w:tab w:val="clear" w:leader="none" w:pos="708"/>
                <w:tab w:val="left" w:leader="none" w:pos="6945"/>
              </w:tabs>
              <w:spacing/>
              <w:ind w:right="-392" w:firstLine="176" w:left="-284"/>
              <w:jc w:val="center"/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64" w:type="dxa"/>
            <w:vAlign w:val="center"/>
            <w:textDirection w:val="lrTb"/>
            <w:noWrap w:val="false"/>
          </w:tcPr>
          <w:p>
            <w:pPr>
              <w:pStyle w:val="879"/>
              <w:widowControl w:val="false"/>
              <w:pBdr/>
              <w:shd w:val="clear" w:color="auto" w:fill="auto"/>
              <w:spacing/>
              <w:ind/>
              <w:jc w:val="both"/>
              <w:rPr/>
            </w:pPr>
            <w:r>
              <w:rPr>
                <w:rStyle w:val="829"/>
                <w:b/>
                <w:bCs/>
                <w:shd w:val="clear" w:color="auto" w:fill="auto"/>
              </w:rPr>
              <w:t xml:space="preserve">Внесение записей о проведенных работах в Журнал технического состояния котла.</w:t>
            </w:r>
            <w:r/>
          </w:p>
          <w:p>
            <w:pPr>
              <w:pStyle w:val="879"/>
              <w:widowControl w:val="false"/>
              <w:pBdr/>
              <w:shd w:val="clear" w:color="auto" w:fill="auto"/>
              <w:spacing/>
              <w:ind/>
              <w:jc w:val="both"/>
              <w:rPr/>
            </w:pPr>
            <w:r>
              <w:rPr>
                <w:rStyle w:val="829"/>
                <w:b w:val="0"/>
                <w:shd w:val="clear" w:color="auto" w:fill="auto"/>
              </w:rPr>
              <w:t xml:space="preserve">Составление и передача Заказчику Акта выполненных работ и Протокола контрольных замеров (параметры воды, выбросы).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3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3" w:type="dxa"/>
            <w:textDirection w:val="lrTb"/>
            <w:noWrap w:val="false"/>
          </w:tcPr>
          <w:p>
            <w:pPr>
              <w:pStyle w:val="878"/>
              <w:widowControl w:val="false"/>
              <w:numPr>
                <w:ilvl w:val="0"/>
                <w:numId w:val="16"/>
              </w:numPr>
              <w:pBdr/>
              <w:tabs>
                <w:tab w:val="left" w:leader="none" w:pos="284"/>
                <w:tab w:val="clear" w:leader="none" w:pos="708"/>
                <w:tab w:val="left" w:leader="none" w:pos="6945"/>
              </w:tabs>
              <w:spacing/>
              <w:ind w:right="-392" w:firstLine="176" w:left="-284"/>
              <w:jc w:val="center"/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64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auto"/>
              </w:rPr>
              <w:t xml:space="preserve">Замеры выбросов вредных веществ: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shd w:val="clear" w:color="auto" w:fill="auto"/>
              </w:rPr>
              <w:t xml:space="preserve">Проверка тепловой мощности горелки.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shd w:val="clear" w:color="auto" w:fill="auto"/>
              </w:rPr>
              <w:t xml:space="preserve">Замеры параметров дымовых газов (температура, состав).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shd w:val="clear" w:color="auto" w:fill="auto"/>
              </w:rPr>
              <w:t xml:space="preserve">Регулировка процесса горения.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shd w:val="clear" w:color="auto" w:fill="auto"/>
              </w:rPr>
              <w:t xml:space="preserve">Проверка и настройка рециркуляции дымовых газов (при наличии).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shd w:val="clear" w:color="auto" w:fill="auto"/>
              </w:rPr>
              <w:t xml:space="preserve">Составление протокола замеров.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3" w:type="dxa"/>
            <w:textDirection w:val="lrTb"/>
            <w:noWrap w:val="false"/>
          </w:tcPr>
          <w:p>
            <w:pPr>
              <w:pStyle w:val="878"/>
              <w:widowControl w:val="false"/>
              <w:numPr>
                <w:ilvl w:val="0"/>
                <w:numId w:val="16"/>
              </w:numPr>
              <w:pBdr/>
              <w:tabs>
                <w:tab w:val="left" w:leader="none" w:pos="284"/>
                <w:tab w:val="clear" w:leader="none" w:pos="708"/>
                <w:tab w:val="left" w:leader="none" w:pos="6945"/>
              </w:tabs>
              <w:spacing/>
              <w:ind w:right="-392" w:firstLine="176" w:left="-284"/>
              <w:jc w:val="center"/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64" w:type="dxa"/>
            <w:vAlign w:val="center"/>
            <w:textDirection w:val="lrTb"/>
            <w:noWrap w:val="false"/>
          </w:tcPr>
          <w:p>
            <w:pPr>
              <w:pStyle w:val="879"/>
              <w:widowControl w:val="false"/>
              <w:pBdr/>
              <w:shd w:val="clear" w:color="auto" w:fill="auto"/>
              <w:spacing/>
              <w:ind/>
              <w:jc w:val="left"/>
              <w:rPr/>
            </w:pPr>
            <w:r>
              <w:rPr>
                <w:rStyle w:val="829"/>
                <w:b/>
                <w:shd w:val="clear" w:color="auto" w:fill="auto"/>
              </w:rPr>
              <w:t xml:space="preserve">Техническое обслуживание комбинированных горелок проводится в соответствии с руководством по эксплуатации:</w:t>
            </w:r>
            <w:r/>
          </w:p>
          <w:p>
            <w:pPr>
              <w:pStyle w:val="879"/>
              <w:widowControl w:val="false"/>
              <w:numPr>
                <w:ilvl w:val="0"/>
                <w:numId w:val="18"/>
              </w:numPr>
              <w:pBdr/>
              <w:shd w:val="clear" w:color="auto" w:fill="auto"/>
              <w:tabs>
                <w:tab w:val="left" w:leader="none" w:pos="197"/>
                <w:tab w:val="clear" w:leader="none" w:pos="708"/>
              </w:tabs>
              <w:spacing/>
              <w:ind/>
              <w:jc w:val="left"/>
              <w:rPr/>
            </w:pPr>
            <w:r>
              <w:rPr>
                <w:rStyle w:val="829"/>
                <w:b w:val="0"/>
                <w:bCs w:val="0"/>
                <w:shd w:val="clear" w:color="auto" w:fill="auto"/>
              </w:rPr>
              <w:t xml:space="preserve">очистить и отрегулировать пламенную голову;</w:t>
            </w:r>
            <w:r/>
          </w:p>
          <w:p>
            <w:pPr>
              <w:pStyle w:val="879"/>
              <w:widowControl w:val="false"/>
              <w:numPr>
                <w:ilvl w:val="0"/>
                <w:numId w:val="18"/>
              </w:numPr>
              <w:pBdr/>
              <w:shd w:val="clear" w:color="auto" w:fill="auto"/>
              <w:tabs>
                <w:tab w:val="left" w:leader="none" w:pos="197"/>
                <w:tab w:val="clear" w:leader="none" w:pos="708"/>
              </w:tabs>
              <w:spacing/>
              <w:ind/>
              <w:jc w:val="left"/>
              <w:rPr/>
            </w:pPr>
            <w:r>
              <w:rPr>
                <w:rStyle w:val="829"/>
                <w:b w:val="0"/>
                <w:bCs w:val="0"/>
                <w:shd w:val="clear" w:color="auto" w:fill="auto"/>
              </w:rPr>
              <w:t xml:space="preserve">зачистить и выставить зазоры электродов ионизации и поджига;</w:t>
            </w:r>
            <w:r/>
          </w:p>
          <w:p>
            <w:pPr>
              <w:pStyle w:val="879"/>
              <w:widowControl w:val="false"/>
              <w:numPr>
                <w:ilvl w:val="0"/>
                <w:numId w:val="18"/>
              </w:numPr>
              <w:pBdr/>
              <w:shd w:val="clear" w:color="auto" w:fill="auto"/>
              <w:tabs>
                <w:tab w:val="left" w:leader="none" w:pos="197"/>
                <w:tab w:val="clear" w:leader="none" w:pos="708"/>
              </w:tabs>
              <w:spacing/>
              <w:ind/>
              <w:jc w:val="left"/>
              <w:rPr/>
            </w:pPr>
            <w:r>
              <w:rPr>
                <w:rStyle w:val="829"/>
                <w:b w:val="0"/>
                <w:bCs w:val="0"/>
                <w:shd w:val="clear" w:color="auto" w:fill="auto"/>
              </w:rPr>
              <w:t xml:space="preserve">очистить и отрегулировать крыльчатку вентилятора;</w:t>
            </w:r>
            <w:r/>
          </w:p>
          <w:p>
            <w:pPr>
              <w:pStyle w:val="879"/>
              <w:widowControl w:val="false"/>
              <w:numPr>
                <w:ilvl w:val="0"/>
                <w:numId w:val="18"/>
              </w:numPr>
              <w:pBdr/>
              <w:shd w:val="clear" w:color="auto" w:fill="auto"/>
              <w:tabs>
                <w:tab w:val="left" w:leader="none" w:pos="197"/>
                <w:tab w:val="clear" w:leader="none" w:pos="708"/>
              </w:tabs>
              <w:spacing/>
              <w:ind/>
              <w:jc w:val="left"/>
              <w:rPr/>
            </w:pPr>
            <w:r>
              <w:rPr>
                <w:rStyle w:val="829"/>
                <w:b w:val="0"/>
                <w:bCs w:val="0"/>
                <w:shd w:val="clear" w:color="auto" w:fill="auto"/>
              </w:rPr>
              <w:t xml:space="preserve">настроить соотношение газ-воздух для работы котлов;</w:t>
            </w:r>
            <w:r/>
          </w:p>
          <w:p>
            <w:pPr>
              <w:pStyle w:val="879"/>
              <w:widowControl w:val="false"/>
              <w:numPr>
                <w:ilvl w:val="0"/>
                <w:numId w:val="18"/>
              </w:numPr>
              <w:pBdr/>
              <w:shd w:val="clear" w:color="auto" w:fill="auto"/>
              <w:tabs>
                <w:tab w:val="left" w:leader="none" w:pos="197"/>
                <w:tab w:val="clear" w:leader="none" w:pos="708"/>
              </w:tabs>
              <w:spacing/>
              <w:ind/>
              <w:jc w:val="left"/>
              <w:rPr/>
            </w:pPr>
            <w:r>
              <w:rPr>
                <w:rStyle w:val="829"/>
                <w:b w:val="0"/>
                <w:bCs w:val="0"/>
                <w:shd w:val="clear" w:color="auto" w:fill="auto"/>
              </w:rPr>
              <w:t xml:space="preserve">задать параметры работы горелки в газовом и жидкотопливном режиме (при сбоях);</w:t>
            </w:r>
            <w:r/>
          </w:p>
          <w:p>
            <w:pPr>
              <w:pStyle w:val="879"/>
              <w:widowControl w:val="false"/>
              <w:numPr>
                <w:ilvl w:val="0"/>
                <w:numId w:val="18"/>
              </w:numPr>
              <w:pBdr/>
              <w:shd w:val="clear" w:color="auto" w:fill="auto"/>
              <w:tabs>
                <w:tab w:val="left" w:leader="none" w:pos="197"/>
                <w:tab w:val="clear" w:leader="none" w:pos="708"/>
              </w:tabs>
              <w:spacing/>
              <w:ind/>
              <w:jc w:val="left"/>
              <w:rPr/>
            </w:pPr>
            <w:r>
              <w:rPr>
                <w:rStyle w:val="829"/>
                <w:b w:val="0"/>
                <w:bCs w:val="0"/>
                <w:shd w:val="clear" w:color="auto" w:fill="auto"/>
              </w:rPr>
              <w:t xml:space="preserve">выполнить акустический контроль шумов и вибрации двигателя, измерить ток в питающих проводника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ТО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7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7" w:type="dxa"/>
            <w:vAlign w:val="center"/>
            <w:textDirection w:val="lrTb"/>
            <w:noWrap w:val="false"/>
          </w:tcPr>
          <w:p>
            <w:pPr>
              <w:pStyle w:val="879"/>
              <w:widowControl w:val="false"/>
              <w:pBdr/>
              <w:shd w:val="clear" w:color="auto" w:fill="auto"/>
              <w:spacing/>
              <w:ind/>
              <w:jc w:val="right"/>
              <w:rPr/>
            </w:pPr>
            <w:r>
              <w:rPr>
                <w:rStyle w:val="829"/>
                <w:b/>
                <w:shd w:val="clear" w:color="auto" w:fill="auto"/>
              </w:rPr>
              <w:t xml:space="preserve">Итого за 1 месяц в т.ч. НДС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5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____________ руб.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7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7" w:type="dxa"/>
            <w:vAlign w:val="center"/>
            <w:textDirection w:val="lrTb"/>
            <w:noWrap w:val="false"/>
          </w:tcPr>
          <w:p>
            <w:pPr>
              <w:pStyle w:val="879"/>
              <w:widowControl w:val="false"/>
              <w:pBdr/>
              <w:shd w:val="clear" w:color="auto" w:fill="auto"/>
              <w:spacing/>
              <w:ind/>
              <w:jc w:val="right"/>
              <w:rPr/>
            </w:pPr>
            <w:r>
              <w:rPr>
                <w:rStyle w:val="829"/>
                <w:b/>
                <w:shd w:val="clear" w:color="auto" w:fill="auto"/>
              </w:rPr>
              <w:t xml:space="preserve">Всего без НДС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5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____________ руб.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7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87" w:type="dxa"/>
            <w:vAlign w:val="center"/>
            <w:textDirection w:val="lrTb"/>
            <w:noWrap w:val="false"/>
          </w:tcPr>
          <w:p>
            <w:pPr>
              <w:pStyle w:val="879"/>
              <w:widowControl w:val="false"/>
              <w:pBdr/>
              <w:shd w:val="clear" w:color="auto" w:fill="auto"/>
              <w:spacing/>
              <w:ind/>
              <w:jc w:val="right"/>
              <w:rPr/>
            </w:pPr>
            <w:r>
              <w:rPr>
                <w:rStyle w:val="829"/>
                <w:b/>
                <w:shd w:val="clear" w:color="auto" w:fill="auto"/>
              </w:rPr>
              <w:t xml:space="preserve">Итого с учетом НДС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5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tabs>
                <w:tab w:val="clear" w:leader="none" w:pos="708"/>
                <w:tab w:val="left" w:leader="none" w:pos="6945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_____________руб.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</w:tbl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rPr>
          <w:b/>
          <w:sz w:val="20"/>
          <w:szCs w:val="20"/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</w:rPr>
      </w:r>
      <w:r>
        <w:rPr>
          <w:b/>
          <w:sz w:val="20"/>
          <w:szCs w:val="20"/>
          <w:highlight w:val="none"/>
          <w:shd w:val="clear" w:color="auto" w:fill="auto"/>
        </w:rPr>
      </w:r>
      <w:r>
        <w:rPr>
          <w:b/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lef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Приложение  №2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к договору______________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от « ___ » ________202__г.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78"/>
        <w:pBdr/>
        <w:spacing/>
        <w:ind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center"/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b/>
          <w:sz w:val="20"/>
          <w:szCs w:val="20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center"/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b/>
          <w:sz w:val="20"/>
          <w:szCs w:val="20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center"/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b/>
          <w:sz w:val="20"/>
          <w:szCs w:val="20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center"/>
        <w:rPr>
          <w:highlight w:val="none"/>
          <w:shd w:val="clear" w:color="auto" w:fill="auto"/>
        </w:rPr>
      </w:pPr>
      <w:r>
        <w:rPr>
          <w:rFonts w:ascii="Times New Roman" w:hAnsi="Times New Roman"/>
          <w:b/>
          <w:sz w:val="20"/>
          <w:szCs w:val="20"/>
          <w:shd w:val="clear" w:color="auto" w:fill="auto"/>
        </w:rPr>
        <w:t xml:space="preserve">График работ по сервисному обслуживанию </w:t>
      </w:r>
      <w:r>
        <w:rPr>
          <w:rFonts w:ascii="Times New Roman" w:hAnsi="Times New Roman" w:eastAsia="Times New Roman"/>
          <w:b/>
          <w:sz w:val="20"/>
          <w:szCs w:val="20"/>
          <w:shd w:val="clear" w:color="auto" w:fill="auto"/>
          <w:lang w:eastAsia="ru-RU"/>
        </w:rPr>
        <w:t xml:space="preserve">оборудования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78"/>
        <w:pBdr/>
        <w:spacing/>
        <w:ind/>
        <w:jc w:val="center"/>
        <w:rPr>
          <w:highlight w:val="none"/>
          <w:shd w:val="clear" w:color="auto" w:fill="auto"/>
        </w:rPr>
      </w:pPr>
      <w:r>
        <w:rPr>
          <w:rFonts w:ascii="Times New Roman" w:hAnsi="Times New Roman" w:eastAsia="Times New Roman"/>
          <w:b/>
          <w:sz w:val="20"/>
          <w:szCs w:val="20"/>
          <w:shd w:val="clear" w:color="auto" w:fill="auto"/>
          <w:lang w:eastAsia="ru-RU"/>
        </w:rPr>
        <w:t xml:space="preserve">в газомикротурбинной тепловой электростанции (ГМТЭС) с. Кальвица, с.Ситта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78"/>
        <w:pBdr/>
        <w:spacing/>
        <w:ind/>
        <w:jc w:val="center"/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b/>
          <w:sz w:val="20"/>
          <w:szCs w:val="20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</w:p>
    <w:tbl>
      <w:tblPr>
        <w:tblW w:w="10491" w:type="dxa"/>
        <w:tblInd w:w="-21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74"/>
        <w:gridCol w:w="1464"/>
        <w:gridCol w:w="1153"/>
        <w:gridCol w:w="1054"/>
        <w:gridCol w:w="1024"/>
        <w:gridCol w:w="1023"/>
        <w:gridCol w:w="3198"/>
      </w:tblGrid>
      <w:tr>
        <w:trPr>
          <w:trHeight w:val="7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4" w:type="dxa"/>
            <w:vMerge w:val="restart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rFonts w:ascii="Times New Roman" w:hAnsi="Times New Roman"/>
                <w:b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auto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highlight w:val="none"/>
                <w:shd w:val="clear" w:color="auto" w:fill="auto"/>
              </w:rPr>
            </w:r>
          </w:p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auto"/>
              </w:rPr>
              <w:t xml:space="preserve">Объект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4" w:type="dxa"/>
            <w:vAlign w:val="center"/>
            <w:vMerge w:val="restart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auto"/>
              </w:rPr>
              <w:t xml:space="preserve">Плановый выезд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auto"/>
              </w:rPr>
              <w:t xml:space="preserve">за ОЗП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auto"/>
              </w:rPr>
              <w:t xml:space="preserve">(кол-во)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auto"/>
              </w:rPr>
              <w:t xml:space="preserve">   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auto"/>
              </w:rPr>
              <w:t xml:space="preserve">Плановый выезд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auto"/>
              </w:rPr>
              <w:t xml:space="preserve">(кол-во)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78"/>
              <w:widowControl w:val="false"/>
              <w:pBdr/>
              <w:spacing/>
              <w:ind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auto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98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auto"/>
              </w:rPr>
              <w:t xml:space="preserve">Внеплановые выезды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1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4" w:type="dxa"/>
            <w:vMerge w:val="continue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4" w:type="dxa"/>
            <w:vMerge w:val="continue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3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auto"/>
              </w:rPr>
              <w:t xml:space="preserve">август  - октябрь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auto"/>
              </w:rPr>
              <w:t xml:space="preserve">декабрь-февраль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auto"/>
              </w:rPr>
              <w:t xml:space="preserve">апрель - май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3" w:type="dxa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auto"/>
              </w:rPr>
              <w:t xml:space="preserve">июнь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98" w:type="dxa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auto"/>
              </w:rPr>
              <w:t xml:space="preserve">в течение отопительного периода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5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4" w:type="dxa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ГМТЭС с. Кальвица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4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3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1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1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1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3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1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98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По согласованию с Заказчиком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5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4" w:type="dxa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ГМТЭС с. Ситта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4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3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1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1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1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3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1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98" w:type="dxa"/>
            <w:vAlign w:val="center"/>
            <w:textDirection w:val="lrTb"/>
            <w:noWrap w:val="false"/>
          </w:tcPr>
          <w:p>
            <w:pPr>
              <w:pStyle w:val="878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auto"/>
              </w:rPr>
              <w:t xml:space="preserve">По согласованию с Заказчиком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</w:tbl>
    <w:p>
      <w:pPr>
        <w:pStyle w:val="878"/>
        <w:pBdr/>
        <w:spacing/>
        <w:ind/>
        <w:jc w:val="center"/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b/>
          <w:sz w:val="20"/>
          <w:szCs w:val="20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jc w:val="center"/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b/>
          <w:sz w:val="20"/>
          <w:szCs w:val="20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</w:p>
    <w:p>
      <w:pPr>
        <w:pStyle w:val="833"/>
        <w:pBdr/>
        <w:spacing/>
        <w:ind/>
        <w:jc w:val="left"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78"/>
        <w:pBdr/>
        <w:spacing/>
        <w:ind w:firstLine="0" w:left="5103"/>
        <w:jc w:val="center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6525"/>
        </w:tabs>
        <w:spacing/>
        <w:ind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Заказчик:</w:t>
        <w:tab/>
        <w:tab/>
        <w:tab/>
        <w:tab/>
        <w:tab/>
        <w:tab/>
        <w:tab/>
        <w:tab/>
        <w:tab/>
        <w:tab/>
        <w:t xml:space="preserve">                                                 Исполнитель: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6525"/>
        </w:tabs>
        <w:spacing/>
        <w:ind/>
        <w:jc w:val="both"/>
        <w:rPr>
          <w:b/>
          <w:sz w:val="20"/>
          <w:szCs w:val="20"/>
          <w:highlight w:val="none"/>
          <w:shd w:val="clear" w:color="auto" w:fill="auto"/>
          <w:lang w:val="ru-RU"/>
        </w:rPr>
      </w:pPr>
      <w:r>
        <w:rPr>
          <w:b/>
          <w:sz w:val="20"/>
          <w:szCs w:val="20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6525"/>
        </w:tabs>
        <w:spacing/>
        <w:ind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Генеральный директор</w:t>
        <w:tab/>
        <w:tab/>
        <w:tab/>
        <w:tab/>
        <w:tab/>
        <w:tab/>
        <w:t xml:space="preserve">                  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5161"/>
          <w:tab w:val="left" w:leader="none" w:pos="6525"/>
        </w:tabs>
        <w:spacing/>
        <w:ind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АО «Сахаэнерго»</w:t>
        <w:tab/>
        <w:tab/>
        <w:tab/>
        <w:tab/>
        <w:tab/>
        <w:tab/>
        <w:tab/>
        <w:tab/>
        <w:t xml:space="preserve">                   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left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_____________/П.С. Кондратьев                                                                        ____________/________________/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«_____»_______________20__ г.</w:t>
        <w:tab/>
        <w:tab/>
        <w:t xml:space="preserve">        </w:t>
        <w:tab/>
        <w:t xml:space="preserve">                                            «_____»_________________20__ 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                        </w:t>
      </w:r>
      <w:r>
        <w:rPr>
          <w:sz w:val="20"/>
          <w:szCs w:val="20"/>
          <w:shd w:val="clear" w:color="auto" w:fill="auto"/>
          <w:lang w:val="ru-RU"/>
        </w:rPr>
        <w:t xml:space="preserve">м.п.</w:t>
        <w:tab/>
        <w:tab/>
        <w:tab/>
        <w:tab/>
        <w:tab/>
        <w:tab/>
        <w:t xml:space="preserve">                                     м.п.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lef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Приложение  №3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к договору______________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от « ___ » ________202__г.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  <w:lang w:val="ru-RU"/>
        </w:rPr>
      </w:pPr>
      <w:r>
        <w:rPr>
          <w:iCs/>
          <w:sz w:val="20"/>
          <w:szCs w:val="20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  <w:r>
        <w:rPr>
          <w:iCs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33"/>
        <w:pBdr/>
        <w:spacing/>
        <w:ind/>
        <w:rPr>
          <w:highlight w:val="none"/>
          <w:shd w:val="clear" w:color="auto" w:fill="auto"/>
        </w:rPr>
      </w:pPr>
      <w:r>
        <w:rPr>
          <w:iCs/>
          <w:sz w:val="20"/>
          <w:szCs w:val="20"/>
          <w:shd w:val="clear" w:color="auto" w:fill="auto"/>
        </w:rPr>
        <w:t xml:space="preserve">ФОРМА</w:t>
      </w:r>
      <w:r>
        <w:rPr>
          <w:iCs/>
          <w:sz w:val="20"/>
          <w:szCs w:val="20"/>
          <w:shd w:val="clear" w:color="auto" w:fill="auto"/>
          <w:lang w:val="ru-RU"/>
        </w:rPr>
        <w:t xml:space="preserve"> 1</w:t>
      </w:r>
      <w:r>
        <w:rPr>
          <w:iCs/>
          <w:sz w:val="20"/>
          <w:szCs w:val="20"/>
          <w:shd w:val="clear" w:color="auto" w:fill="auto"/>
        </w:rPr>
        <w:t xml:space="preserve">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33"/>
        <w:pBdr/>
        <w:spacing/>
        <w:ind/>
        <w:rPr>
          <w:highlight w:val="none"/>
          <w:shd w:val="clear" w:color="auto" w:fill="auto"/>
        </w:rPr>
      </w:pPr>
      <w:r>
        <w:rPr>
          <w:iCs/>
          <w:sz w:val="20"/>
          <w:szCs w:val="20"/>
          <w:shd w:val="clear" w:color="auto" w:fill="auto"/>
        </w:rPr>
        <w:t xml:space="preserve">Акта </w:t>
      </w:r>
      <w:r>
        <w:rPr>
          <w:sz w:val="20"/>
          <w:szCs w:val="20"/>
          <w:shd w:val="clear" w:color="auto" w:fill="auto"/>
        </w:rPr>
        <w:t xml:space="preserve">об оказании</w:t>
      </w:r>
      <w:r>
        <w:rPr>
          <w:iCs/>
          <w:sz w:val="20"/>
          <w:szCs w:val="20"/>
          <w:shd w:val="clear" w:color="auto" w:fill="auto"/>
        </w:rPr>
        <w:t xml:space="preserve"> Работ/услуг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33"/>
        <w:pBdr/>
        <w:spacing/>
        <w:ind/>
        <w:rPr>
          <w:iCs/>
          <w:sz w:val="20"/>
          <w:szCs w:val="20"/>
          <w:highlight w:val="none"/>
          <w:shd w:val="clear" w:color="auto" w:fill="auto"/>
        </w:rPr>
      </w:pPr>
      <w:r>
        <w:rPr>
          <w:iCs/>
          <w:sz w:val="20"/>
          <w:szCs w:val="20"/>
          <w:shd w:val="clear" w:color="auto" w:fill="auto"/>
        </w:rPr>
      </w:r>
      <w:r>
        <w:rPr>
          <w:iCs/>
          <w:sz w:val="20"/>
          <w:szCs w:val="20"/>
          <w:highlight w:val="none"/>
          <w:shd w:val="clear" w:color="auto" w:fill="auto"/>
        </w:rPr>
      </w:r>
      <w:r>
        <w:rPr>
          <w:iCs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b/>
          <w:sz w:val="20"/>
          <w:szCs w:val="20"/>
          <w:shd w:val="clear" w:color="auto" w:fill="auto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3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</wp:posOffset>
                </wp:positionV>
                <wp:extent cx="6153150" cy="4032250"/>
                <wp:effectExtent l="0" t="0" r="0" b="0"/>
                <wp:wrapNone/>
                <wp:docPr id="1" name="_x005F_x0000_s1027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_x005F_x0000_s1027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6153149" cy="4032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43;o:allowoverlap:true;o:allowincell:false;mso-position-horizontal-relative:text;margin-left:0.00pt;mso-position-horizontal:absolute;mso-position-vertical-relative:text;margin-top:0.30pt;mso-position-vertical:absolute;width:484.50pt;height:317.50pt;mso-wrap-distance-left:0.00pt;mso-wrap-distance-top:0.00pt;mso-wrap-distance-right:0.00pt;mso-wrap-distance-bottom:0.00pt;z-index:1;" stroked="false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b/>
          <w:sz w:val="20"/>
          <w:szCs w:val="20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b/>
          <w:sz w:val="20"/>
          <w:szCs w:val="20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b/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4" behindDoc="1" locked="0" layoutInCell="0" allowOverlap="1">
                <wp:simplePos x="0" y="0"/>
                <wp:positionH relativeFrom="column">
                  <wp:posOffset>-588010</wp:posOffset>
                </wp:positionH>
                <wp:positionV relativeFrom="paragraph">
                  <wp:posOffset>132715</wp:posOffset>
                </wp:positionV>
                <wp:extent cx="6696710" cy="2863850"/>
                <wp:effectExtent l="0" t="0" r="0" b="0"/>
                <wp:wrapNone/>
                <wp:docPr id="2" name="_x005F_x0000_s1026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_x005F_x0000_s1026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6696710" cy="2863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-44;o:allowoverlap:true;o:allowincell:false;mso-position-horizontal-relative:text;margin-left:-46.30pt;mso-position-horizontal:absolute;mso-position-vertical-relative:text;margin-top:10.45pt;mso-position-vertical:absolute;width:527.30pt;height:225.50pt;mso-wrap-distance-left:0.00pt;mso-wrap-distance-top:0.00pt;mso-wrap-distance-right:0.00pt;mso-wrap-distance-bottom:0.00pt;z-index:1;" stroked="false">
                <v:imagedata r:id="rId14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firstLine="708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 w:eastAsia="en-US"/>
        </w:rPr>
      </w:pPr>
      <w:r>
        <w:rPr>
          <w:sz w:val="20"/>
          <w:szCs w:val="20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 w:eastAsia="en-US"/>
        </w:rPr>
      </w:pPr>
      <w:r>
        <w:rPr>
          <w:sz w:val="20"/>
          <w:szCs w:val="20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 w:eastAsia="en-US"/>
        </w:rPr>
      </w:pPr>
      <w:r>
        <w:rPr>
          <w:sz w:val="20"/>
          <w:szCs w:val="20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 w:eastAsia="en-US"/>
        </w:rPr>
      </w:pPr>
      <w:r>
        <w:rPr>
          <w:sz w:val="20"/>
          <w:szCs w:val="20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 w:eastAsia="en-US"/>
        </w:rPr>
      </w:pPr>
      <w:r>
        <w:rPr>
          <w:sz w:val="20"/>
          <w:szCs w:val="20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 w:eastAsia="en-US"/>
        </w:rPr>
      </w:pPr>
      <w:r>
        <w:rPr>
          <w:sz w:val="20"/>
          <w:szCs w:val="20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 w:eastAsia="en-US"/>
        </w:rPr>
      </w:pPr>
      <w:r>
        <w:rPr>
          <w:sz w:val="20"/>
          <w:szCs w:val="20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 w:eastAsia="en-US"/>
        </w:rPr>
      </w:pPr>
      <w:r>
        <w:rPr>
          <w:sz w:val="20"/>
          <w:szCs w:val="20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 w:eastAsia="en-US"/>
        </w:rPr>
      </w:pPr>
      <w:r>
        <w:rPr>
          <w:sz w:val="20"/>
          <w:szCs w:val="20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 w:eastAsia="en-US"/>
        </w:rPr>
      </w:pPr>
      <w:r>
        <w:rPr>
          <w:sz w:val="20"/>
          <w:szCs w:val="20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 w:eastAsia="en-US"/>
        </w:rPr>
      </w:pPr>
      <w:r>
        <w:rPr>
          <w:sz w:val="20"/>
          <w:szCs w:val="20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 w:eastAsia="en-US"/>
        </w:rPr>
      </w:pPr>
      <w:r>
        <w:rPr>
          <w:sz w:val="20"/>
          <w:szCs w:val="20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 w:eastAsia="en-US"/>
        </w:rPr>
      </w:pPr>
      <w:r>
        <w:rPr>
          <w:sz w:val="20"/>
          <w:szCs w:val="20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 w:eastAsia="en-US"/>
        </w:rPr>
      </w:pPr>
      <w:r>
        <w:rPr>
          <w:sz w:val="20"/>
          <w:szCs w:val="20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 w:eastAsia="en-US"/>
        </w:rPr>
      </w:pPr>
      <w:r>
        <w:rPr>
          <w:sz w:val="20"/>
          <w:szCs w:val="20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  <w:r>
        <w:rPr>
          <w:sz w:val="20"/>
          <w:szCs w:val="20"/>
          <w:highlight w:val="none"/>
          <w:shd w:val="clear" w:color="auto" w:fill="auto"/>
          <w:lang w:val="ru-RU" w:eastAsia="en-US"/>
        </w:rPr>
      </w:r>
    </w:p>
    <w:p>
      <w:pPr>
        <w:pStyle w:val="878"/>
        <w:pBdr/>
        <w:spacing/>
        <w:ind/>
        <w:rPr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  <w:t xml:space="preserve">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78"/>
        <w:pBdr/>
        <w:spacing/>
        <w:ind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6525"/>
        </w:tabs>
        <w:spacing/>
        <w:ind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Заказчик:</w:t>
        <w:tab/>
        <w:tab/>
        <w:tab/>
        <w:tab/>
        <w:tab/>
        <w:tab/>
        <w:tab/>
        <w:tab/>
        <w:tab/>
        <w:tab/>
        <w:t xml:space="preserve">                                                 Исполнитель: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6525"/>
        </w:tabs>
        <w:spacing/>
        <w:ind/>
        <w:jc w:val="both"/>
        <w:rPr>
          <w:b/>
          <w:sz w:val="20"/>
          <w:szCs w:val="20"/>
          <w:highlight w:val="none"/>
          <w:shd w:val="clear" w:color="auto" w:fill="auto"/>
          <w:lang w:val="ru-RU"/>
        </w:rPr>
      </w:pPr>
      <w:r>
        <w:rPr>
          <w:b/>
          <w:sz w:val="20"/>
          <w:szCs w:val="20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6525"/>
        </w:tabs>
        <w:spacing/>
        <w:ind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Генеральный директор</w:t>
        <w:tab/>
        <w:tab/>
        <w:tab/>
        <w:tab/>
        <w:tab/>
        <w:tab/>
        <w:t xml:space="preserve">                  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5161"/>
          <w:tab w:val="left" w:leader="none" w:pos="6525"/>
        </w:tabs>
        <w:spacing/>
        <w:ind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АО «Сахаэнерго»</w:t>
        <w:tab/>
        <w:tab/>
        <w:tab/>
        <w:tab/>
        <w:tab/>
        <w:tab/>
        <w:tab/>
        <w:tab/>
        <w:t xml:space="preserve">                   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_____________/П.С. Кондратьев                                  ____________/________________/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«_____»_______________20__ г.</w:t>
        <w:tab/>
        <w:tab/>
        <w:t xml:space="preserve">        </w:t>
        <w:tab/>
        <w:t xml:space="preserve">                 «_____»_________________20__ 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                        </w:t>
      </w:r>
      <w:r>
        <w:rPr>
          <w:sz w:val="20"/>
          <w:szCs w:val="20"/>
          <w:shd w:val="clear" w:color="auto" w:fill="auto"/>
          <w:lang w:val="ru-RU"/>
        </w:rPr>
        <w:t xml:space="preserve">м.п.</w:t>
        <w:tab/>
        <w:tab/>
        <w:tab/>
        <w:tab/>
        <w:tab/>
        <w:tab/>
        <w:t xml:space="preserve">                                     м.п.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0"/>
        <w:jc w:val="lef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spacing/>
        <w:ind/>
        <w:jc w:val="center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ФОРМА 2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33"/>
        <w:pBdr/>
        <w:spacing/>
        <w:ind/>
        <w:rPr>
          <w:highlight w:val="none"/>
          <w:shd w:val="clear" w:color="auto" w:fill="auto"/>
        </w:rPr>
      </w:pPr>
      <w:r>
        <w:rPr>
          <w:iCs/>
          <w:sz w:val="20"/>
          <w:szCs w:val="20"/>
          <w:shd w:val="clear" w:color="auto" w:fill="auto"/>
          <w:lang w:val="ru-RU"/>
        </w:rPr>
        <w:t xml:space="preserve">Отчет об оказаний услуг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center"/>
        <w:rPr>
          <w:b/>
          <w:sz w:val="20"/>
          <w:szCs w:val="20"/>
          <w:highlight w:val="none"/>
          <w:shd w:val="clear" w:color="auto" w:fill="auto"/>
          <w:lang w:val="ru-RU"/>
        </w:rPr>
      </w:pPr>
      <w:r>
        <w:rPr>
          <w:b/>
          <w:sz w:val="20"/>
          <w:szCs w:val="20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</w:p>
    <w:tbl>
      <w:tblPr>
        <w:tblW w:w="9853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53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3" w:type="dxa"/>
            <w:textDirection w:val="lrTb"/>
            <w:noWrap w:val="false"/>
          </w:tcPr>
          <w:p>
            <w:pPr>
              <w:pStyle w:val="833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i/>
                <w:iCs/>
                <w:sz w:val="20"/>
                <w:szCs w:val="20"/>
                <w:shd w:val="clear" w:color="auto" w:fill="auto"/>
                <w:lang w:val="ru-RU" w:eastAsia="ru-RU"/>
              </w:rPr>
              <w:t xml:space="preserve">Отчет  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jc w:val="both"/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  <w:p>
            <w:pPr>
              <w:pStyle w:val="767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г.______________                                                                                «_____»___________ 20__г.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jc w:val="both"/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  <w:p>
            <w:pPr>
              <w:pStyle w:val="767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____________________, именуемое далее «</w:t>
            </w: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Исполнитель», в лице ________________, действующего на основании ______________, и ____________________, именуемое далее «Заказчик», в лице _____________________________, действующего на основании ______________ , подписали настоящий отчет о нижеследующем: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jc w:val="both"/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  <w:p>
            <w:pPr>
              <w:pStyle w:val="767"/>
              <w:widowControl w:val="false"/>
              <w:pBdr/>
              <w:spacing/>
              <w:ind w:firstLine="708"/>
              <w:jc w:val="both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Исполнитель оказал Заказчику Работы/услуги соответствии с условиями Договора №_____ от _______, а Заказчик принял Работы/услуги Исполнителя.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ab/>
              <w:t xml:space="preserve">Претензии по качеству Работ/услуг: ________________________________________________________________________________.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tabs>
                <w:tab w:val="clear" w:leader="none" w:pos="708"/>
                <w:tab w:val="left" w:leader="none" w:pos="709"/>
                <w:tab w:val="left" w:leader="none" w:pos="4111"/>
              </w:tabs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tabs>
                <w:tab w:val="clear" w:leader="none" w:pos="708"/>
                <w:tab w:val="left" w:leader="none" w:pos="709"/>
                <w:tab w:val="left" w:leader="none" w:pos="4111"/>
              </w:tabs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ab/>
              <w:t xml:space="preserve">Отчет об объеме и форме оказанных Работ/услуг:____________________________________________</w:t>
            </w: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sz w:val="20"/>
                <w:szCs w:val="20"/>
                <w:u w:val="single"/>
                <w:shd w:val="clear" w:color="auto" w:fill="auto"/>
                <w:lang w:val="ru-RU"/>
              </w:rPr>
              <w:t xml:space="preserve">  _________________________________________________________________________________________________________________________________________________________________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tabs>
                <w:tab w:val="clear" w:leader="none" w:pos="708"/>
                <w:tab w:val="left" w:leader="none" w:pos="709"/>
                <w:tab w:val="left" w:leader="none" w:pos="4111"/>
              </w:tabs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b/>
                <w:sz w:val="20"/>
                <w:szCs w:val="20"/>
                <w:shd w:val="clear" w:color="auto" w:fill="auto"/>
              </w:rPr>
              <w:t xml:space="preserve">ПОДПИСИ СТОРОН: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tbl>
            <w:tblPr>
              <w:tblW w:w="10638" w:type="dxa"/>
              <w:tblInd w:w="108" w:type="dxa"/>
              <w:tblBorders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5777"/>
              <w:gridCol w:w="4860"/>
            </w:tblGrid>
            <w:tr>
              <w:trPr>
                <w:trHeight w:val="2022"/>
              </w:trPr>
              <w:tc>
                <w:tcPr>
                  <w:tcBorders/>
                  <w:tcW w:w="5777" w:type="dxa"/>
                  <w:textDirection w:val="lrTb"/>
                  <w:noWrap w:val="false"/>
                </w:tcPr>
                <w:p>
                  <w:pPr>
                    <w:pStyle w:val="767"/>
                    <w:widowControl w:val="false"/>
                    <w:pBdr/>
                    <w:spacing/>
                    <w:ind/>
                    <w:jc w:val="both"/>
                    <w:rPr>
                      <w:highlight w:val="none"/>
                      <w:shd w:val="clear" w:color="auto" w:fill="auto"/>
                    </w:rPr>
                  </w:pPr>
                  <w:r>
                    <w:rPr>
                      <w:b/>
                      <w:sz w:val="20"/>
                      <w:szCs w:val="20"/>
                      <w:shd w:val="clear" w:color="auto" w:fill="auto"/>
                    </w:rPr>
                    <w:t xml:space="preserve">Заказчик</w:t>
                  </w:r>
                  <w:r>
                    <w:rPr>
                      <w:highlight w:val="none"/>
                      <w:shd w:val="clear" w:color="auto" w:fill="auto"/>
                    </w:rPr>
                  </w:r>
                  <w:r>
                    <w:rPr>
                      <w:highlight w:val="none"/>
                      <w:shd w:val="clear" w:color="auto" w:fill="auto"/>
                    </w:rPr>
                  </w:r>
                </w:p>
                <w:p>
                  <w:pPr>
                    <w:pStyle w:val="767"/>
                    <w:widowControl w:val="false"/>
                    <w:pBdr/>
                    <w:spacing/>
                    <w:ind/>
                    <w:jc w:val="both"/>
                    <w:rPr>
                      <w:sz w:val="20"/>
                      <w:szCs w:val="20"/>
                      <w:highlight w:val="none"/>
                      <w:shd w:val="clear" w:color="auto" w:fill="auto"/>
                    </w:rPr>
                  </w:pPr>
                  <w:r>
                    <w:rPr>
                      <w:sz w:val="20"/>
                      <w:szCs w:val="20"/>
                      <w:shd w:val="clear" w:color="auto" w:fill="auto"/>
                    </w:rPr>
                  </w:r>
                  <w:r>
                    <w:rPr>
                      <w:sz w:val="20"/>
                      <w:szCs w:val="20"/>
                      <w:highlight w:val="none"/>
                      <w:shd w:val="clear" w:color="auto" w:fill="auto"/>
                    </w:rPr>
                  </w:r>
                  <w:r>
                    <w:rPr>
                      <w:sz w:val="20"/>
                      <w:szCs w:val="20"/>
                      <w:highlight w:val="none"/>
                      <w:shd w:val="clear" w:color="auto" w:fill="auto"/>
                    </w:rPr>
                  </w:r>
                </w:p>
                <w:p>
                  <w:pPr>
                    <w:pStyle w:val="767"/>
                    <w:widowControl w:val="false"/>
                    <w:pBdr/>
                    <w:spacing/>
                    <w:ind/>
                    <w:jc w:val="both"/>
                    <w:rPr>
                      <w:highlight w:val="none"/>
                      <w:shd w:val="clear" w:color="auto" w:fill="auto"/>
                    </w:rPr>
                  </w:pPr>
                  <w:r>
                    <w:rPr>
                      <w:sz w:val="20"/>
                      <w:szCs w:val="20"/>
                      <w:shd w:val="clear" w:color="auto" w:fill="auto"/>
                    </w:rPr>
                    <w:t xml:space="preserve">_______________ /____________</w:t>
                  </w:r>
                  <w:r>
                    <w:rPr>
                      <w:highlight w:val="none"/>
                      <w:shd w:val="clear" w:color="auto" w:fill="auto"/>
                    </w:rPr>
                  </w:r>
                  <w:r>
                    <w:rPr>
                      <w:highlight w:val="none"/>
                      <w:shd w:val="clear" w:color="auto" w:fill="auto"/>
                    </w:rPr>
                  </w:r>
                </w:p>
                <w:p>
                  <w:pPr>
                    <w:pStyle w:val="767"/>
                    <w:widowControl w:val="false"/>
                    <w:pBdr/>
                    <w:spacing/>
                    <w:ind/>
                    <w:jc w:val="both"/>
                    <w:rPr>
                      <w:sz w:val="20"/>
                      <w:szCs w:val="20"/>
                      <w:highlight w:val="none"/>
                      <w:shd w:val="clear" w:color="auto" w:fill="auto"/>
                    </w:rPr>
                  </w:pPr>
                  <w:r>
                    <w:rPr>
                      <w:sz w:val="20"/>
                      <w:szCs w:val="20"/>
                      <w:shd w:val="clear" w:color="auto" w:fill="auto"/>
                    </w:rPr>
                  </w:r>
                  <w:r>
                    <w:rPr>
                      <w:sz w:val="20"/>
                      <w:szCs w:val="20"/>
                      <w:highlight w:val="none"/>
                      <w:shd w:val="clear" w:color="auto" w:fill="auto"/>
                    </w:rPr>
                  </w:r>
                  <w:r>
                    <w:rPr>
                      <w:sz w:val="20"/>
                      <w:szCs w:val="20"/>
                      <w:highlight w:val="none"/>
                      <w:shd w:val="clear" w:color="auto" w:fill="auto"/>
                    </w:rPr>
                  </w:r>
                </w:p>
              </w:tc>
              <w:tc>
                <w:tcPr>
                  <w:tcBorders/>
                  <w:tcW w:w="4860" w:type="dxa"/>
                  <w:textDirection w:val="lrTb"/>
                  <w:noWrap w:val="false"/>
                </w:tcPr>
                <w:p>
                  <w:pPr>
                    <w:pStyle w:val="767"/>
                    <w:widowControl w:val="false"/>
                    <w:pBdr/>
                    <w:spacing/>
                    <w:ind/>
                    <w:jc w:val="both"/>
                    <w:rPr>
                      <w:highlight w:val="none"/>
                      <w:shd w:val="clear" w:color="auto" w:fill="auto"/>
                    </w:rPr>
                  </w:pPr>
                  <w:r>
                    <w:rPr>
                      <w:b/>
                      <w:sz w:val="20"/>
                      <w:szCs w:val="20"/>
                      <w:shd w:val="clear" w:color="auto" w:fill="auto"/>
                    </w:rPr>
                    <w:t xml:space="preserve">Исполнитель</w:t>
                  </w:r>
                  <w:r>
                    <w:rPr>
                      <w:highlight w:val="none"/>
                      <w:shd w:val="clear" w:color="auto" w:fill="auto"/>
                    </w:rPr>
                  </w:r>
                  <w:r>
                    <w:rPr>
                      <w:highlight w:val="none"/>
                      <w:shd w:val="clear" w:color="auto" w:fill="auto"/>
                    </w:rPr>
                  </w:r>
                </w:p>
                <w:p>
                  <w:pPr>
                    <w:pStyle w:val="767"/>
                    <w:widowControl w:val="false"/>
                    <w:pBdr/>
                    <w:spacing/>
                    <w:ind/>
                    <w:jc w:val="both"/>
                    <w:rPr>
                      <w:sz w:val="20"/>
                      <w:szCs w:val="20"/>
                      <w:highlight w:val="none"/>
                      <w:shd w:val="clear" w:color="auto" w:fill="auto"/>
                    </w:rPr>
                  </w:pPr>
                  <w:r>
                    <w:rPr>
                      <w:sz w:val="20"/>
                      <w:szCs w:val="20"/>
                      <w:shd w:val="clear" w:color="auto" w:fill="auto"/>
                    </w:rPr>
                  </w:r>
                  <w:r>
                    <w:rPr>
                      <w:sz w:val="20"/>
                      <w:szCs w:val="20"/>
                      <w:highlight w:val="none"/>
                      <w:shd w:val="clear" w:color="auto" w:fill="auto"/>
                    </w:rPr>
                  </w:r>
                  <w:r>
                    <w:rPr>
                      <w:sz w:val="20"/>
                      <w:szCs w:val="20"/>
                      <w:highlight w:val="none"/>
                      <w:shd w:val="clear" w:color="auto" w:fill="auto"/>
                    </w:rPr>
                  </w:r>
                </w:p>
                <w:p>
                  <w:pPr>
                    <w:pStyle w:val="767"/>
                    <w:widowControl w:val="false"/>
                    <w:pBdr/>
                    <w:spacing/>
                    <w:ind/>
                    <w:jc w:val="both"/>
                    <w:rPr>
                      <w:highlight w:val="none"/>
                      <w:shd w:val="clear" w:color="auto" w:fill="auto"/>
                    </w:rPr>
                  </w:pPr>
                  <w:r>
                    <w:rPr>
                      <w:sz w:val="20"/>
                      <w:szCs w:val="20"/>
                      <w:shd w:val="clear" w:color="auto" w:fill="auto"/>
                    </w:rPr>
                    <w:t xml:space="preserve">_______________ / __________/</w:t>
                  </w:r>
                  <w:r>
                    <w:rPr>
                      <w:highlight w:val="none"/>
                      <w:shd w:val="clear" w:color="auto" w:fill="auto"/>
                    </w:rPr>
                  </w:r>
                  <w:r>
                    <w:rPr>
                      <w:highlight w:val="none"/>
                      <w:shd w:val="clear" w:color="auto" w:fill="auto"/>
                    </w:rPr>
                  </w:r>
                </w:p>
                <w:p>
                  <w:pPr>
                    <w:pStyle w:val="767"/>
                    <w:widowControl w:val="false"/>
                    <w:pBdr/>
                    <w:spacing/>
                    <w:ind/>
                    <w:jc w:val="both"/>
                    <w:rPr>
                      <w:sz w:val="20"/>
                      <w:szCs w:val="20"/>
                      <w:highlight w:val="none"/>
                      <w:shd w:val="clear" w:color="auto" w:fill="auto"/>
                    </w:rPr>
                  </w:pPr>
                  <w:r>
                    <w:rPr>
                      <w:sz w:val="20"/>
                      <w:szCs w:val="20"/>
                      <w:shd w:val="clear" w:color="auto" w:fill="auto"/>
                    </w:rPr>
                  </w:r>
                  <w:r>
                    <w:rPr>
                      <w:sz w:val="20"/>
                      <w:szCs w:val="20"/>
                      <w:highlight w:val="none"/>
                      <w:shd w:val="clear" w:color="auto" w:fill="auto"/>
                    </w:rPr>
                  </w:r>
                  <w:r>
                    <w:rPr>
                      <w:sz w:val="20"/>
                      <w:szCs w:val="20"/>
                      <w:highlight w:val="none"/>
                      <w:shd w:val="clear" w:color="auto" w:fill="auto"/>
                    </w:rPr>
                  </w:r>
                </w:p>
              </w:tc>
            </w:tr>
          </w:tbl>
          <w:p>
            <w:pPr>
              <w:pStyle w:val="767"/>
              <w:widowControl w:val="false"/>
              <w:pBdr/>
              <w:spacing/>
              <w:ind/>
              <w:rPr>
                <w:i/>
                <w:iCs/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i/>
                <w:iCs/>
                <w:sz w:val="20"/>
                <w:szCs w:val="20"/>
                <w:shd w:val="clear" w:color="auto" w:fill="auto"/>
              </w:rPr>
            </w:r>
            <w:r>
              <w:rPr>
                <w:i/>
                <w:iCs/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i/>
                <w:iCs/>
                <w:sz w:val="20"/>
                <w:szCs w:val="20"/>
                <w:highlight w:val="none"/>
                <w:shd w:val="clear" w:color="auto" w:fill="auto"/>
              </w:rPr>
            </w:r>
          </w:p>
        </w:tc>
      </w:tr>
    </w:tbl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6525"/>
        </w:tabs>
        <w:spacing/>
        <w:ind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Заказчик:</w:t>
        <w:tab/>
        <w:tab/>
        <w:tab/>
        <w:tab/>
        <w:tab/>
        <w:tab/>
        <w:tab/>
        <w:tab/>
        <w:tab/>
        <w:tab/>
        <w:t xml:space="preserve">                                                 Исполнитель: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6525"/>
        </w:tabs>
        <w:spacing/>
        <w:ind/>
        <w:jc w:val="both"/>
        <w:rPr>
          <w:b/>
          <w:sz w:val="20"/>
          <w:szCs w:val="20"/>
          <w:highlight w:val="none"/>
          <w:shd w:val="clear" w:color="auto" w:fill="auto"/>
          <w:lang w:val="ru-RU"/>
        </w:rPr>
      </w:pPr>
      <w:r>
        <w:rPr>
          <w:b/>
          <w:sz w:val="20"/>
          <w:szCs w:val="20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6525"/>
        </w:tabs>
        <w:spacing/>
        <w:ind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Генеральный директор</w:t>
        <w:tab/>
        <w:tab/>
        <w:tab/>
        <w:tab/>
        <w:tab/>
        <w:tab/>
        <w:t xml:space="preserve">                  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5161"/>
          <w:tab w:val="left" w:leader="none" w:pos="6525"/>
        </w:tabs>
        <w:spacing/>
        <w:ind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АО «Сахаэнерго»</w:t>
        <w:tab/>
        <w:tab/>
        <w:tab/>
        <w:tab/>
        <w:tab/>
        <w:tab/>
        <w:tab/>
        <w:tab/>
        <w:t xml:space="preserve">                   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_____________/П.С. Кондратьев                                  ____________/________________/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«_____»_______________20__ г.</w:t>
        <w:tab/>
        <w:tab/>
        <w:t xml:space="preserve">        </w:t>
        <w:tab/>
        <w:t xml:space="preserve">                 «_____»_________________20__ 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                        </w:t>
      </w:r>
      <w:r>
        <w:rPr>
          <w:sz w:val="20"/>
          <w:szCs w:val="20"/>
          <w:shd w:val="clear" w:color="auto" w:fill="auto"/>
          <w:lang w:val="ru-RU"/>
        </w:rPr>
        <w:t xml:space="preserve">м.п.</w:t>
        <w:tab/>
        <w:tab/>
        <w:tab/>
        <w:tab/>
        <w:tab/>
        <w:tab/>
        <w:t xml:space="preserve">                                     м.п.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0"/>
        <w:jc w:val="lef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0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highlight w:val="none"/>
        </w:rPr>
      </w:pP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  <w:t xml:space="preserve">Приложение №4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  <w:t xml:space="preserve">Договора</w:t>
      </w:r>
      <w:r>
        <w:rPr>
          <w:rFonts w:ascii="Times New Roman" w:hAnsi="Times New Roman" w:eastAsia="Times New Roman"/>
          <w:sz w:val="20"/>
          <w:szCs w:val="20"/>
          <w:shd w:val="clear" w:color="auto" w:fill="auto"/>
          <w:lang w:eastAsia="ru-RU"/>
        </w:rPr>
        <w:t xml:space="preserve"> №_________________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878"/>
        <w:pBdr/>
        <w:spacing/>
        <w:ind w:firstLine="0" w:left="5103"/>
        <w:jc w:val="right"/>
        <w:rPr>
          <w:highlight w:val="none"/>
          <w:shd w:val="clear" w:color="auto" w:fill="auto"/>
        </w:rPr>
      </w:pPr>
      <w:r>
        <w:rPr>
          <w:rFonts w:ascii="Times New Roman" w:hAnsi="Times New Roman" w:eastAsia="Times New Roman"/>
          <w:sz w:val="20"/>
          <w:szCs w:val="20"/>
          <w:shd w:val="clear" w:color="auto" w:fill="auto"/>
          <w:lang w:eastAsia="ru-RU"/>
        </w:rPr>
        <w:t xml:space="preserve">от «____» ______________ 20___г.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0" w:left="482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center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Стоимость Услуг по календарным месяцам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tbl>
      <w:tblPr>
        <w:tblW w:w="9530" w:type="dxa"/>
        <w:tblInd w:w="-6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846"/>
        <w:gridCol w:w="1447"/>
        <w:gridCol w:w="1559"/>
        <w:gridCol w:w="1559"/>
        <w:gridCol w:w="1642"/>
        <w:gridCol w:w="1476"/>
      </w:tblGrid>
      <w:tr>
        <w:trPr>
          <w:trHeight w:val="4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left"/>
              <w:rPr>
                <w:highlight w:val="none"/>
                <w:shd w:val="clear" w:color="auto" w:fill="auto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Стоимость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47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Август 2026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Сентябрь 2026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Октябрь 2026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42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Ноябрь 2026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Декабрь</w:t>
            </w: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 2026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509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6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Руб., с </w:t>
            </w: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НДС (__%)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447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642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476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</w:tc>
      </w:tr>
    </w:tbl>
    <w:p>
      <w:pPr>
        <w:pStyle w:val="767"/>
        <w:pBdr/>
        <w:spacing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tbl>
      <w:tblPr>
        <w:tblW w:w="9955" w:type="dxa"/>
        <w:tblInd w:w="-6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028"/>
        <w:gridCol w:w="1407"/>
        <w:gridCol w:w="1417"/>
        <w:gridCol w:w="1276"/>
        <w:gridCol w:w="1416"/>
        <w:gridCol w:w="1134"/>
        <w:gridCol w:w="1276"/>
      </w:tblGrid>
      <w:tr>
        <w:trPr>
          <w:trHeight w:val="4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8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Стоимость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07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Январь 2027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Февраль 2027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Март 2027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Апрель 2027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Май 2027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highlight w:val="none"/>
                <w:shd w:val="clear" w:color="auto" w:fill="auto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Июнь 2027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51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8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Руб., с</w:t>
            </w: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 НДС (__%)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407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center"/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color w:val="000000"/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</w:tc>
      </w:tr>
    </w:tbl>
    <w:p>
      <w:pPr>
        <w:pStyle w:val="767"/>
        <w:pBdr/>
        <w:spacing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878"/>
        <w:pBdr/>
        <w:spacing/>
        <w:ind w:firstLine="0" w:left="5103"/>
        <w:jc w:val="right"/>
        <w:rPr>
          <w:rFonts w:ascii="Times New Roman" w:hAnsi="Times New Roman"/>
          <w:sz w:val="20"/>
          <w:szCs w:val="20"/>
          <w:highlight w:val="none"/>
          <w:shd w:val="clear" w:color="auto" w:fill="auto"/>
        </w:rPr>
      </w:pPr>
      <w:r>
        <w:rPr>
          <w:rFonts w:ascii="Times New Roman" w:hAnsi="Times New Roman"/>
          <w:sz w:val="20"/>
          <w:szCs w:val="20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  <w:r>
        <w:rPr>
          <w:rFonts w:ascii="Times New Roman" w:hAnsi="Times New Roman"/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6525"/>
        </w:tabs>
        <w:spacing/>
        <w:ind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Заказчик:</w:t>
        <w:tab/>
        <w:tab/>
        <w:tab/>
        <w:tab/>
        <w:tab/>
        <w:tab/>
        <w:tab/>
        <w:tab/>
        <w:tab/>
        <w:tab/>
        <w:t xml:space="preserve">                                                 Исполнитель: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6525"/>
        </w:tabs>
        <w:spacing/>
        <w:ind/>
        <w:jc w:val="both"/>
        <w:rPr>
          <w:b/>
          <w:sz w:val="20"/>
          <w:szCs w:val="20"/>
          <w:highlight w:val="none"/>
          <w:shd w:val="clear" w:color="auto" w:fill="auto"/>
          <w:lang w:val="ru-RU"/>
        </w:rPr>
      </w:pPr>
      <w:r>
        <w:rPr>
          <w:b/>
          <w:sz w:val="20"/>
          <w:szCs w:val="20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6525"/>
        </w:tabs>
        <w:spacing/>
        <w:ind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Генеральный директор</w:t>
        <w:tab/>
        <w:tab/>
        <w:tab/>
        <w:tab/>
        <w:tab/>
        <w:tab/>
        <w:t xml:space="preserve">                  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left" w:leader="none" w:pos="397"/>
          <w:tab w:val="clear" w:leader="none" w:pos="708"/>
          <w:tab w:val="left" w:leader="none" w:pos="794"/>
          <w:tab w:val="left" w:leader="none" w:pos="1191"/>
          <w:tab w:val="left" w:leader="none" w:pos="1588"/>
          <w:tab w:val="left" w:leader="none" w:pos="1985"/>
          <w:tab w:val="left" w:leader="none" w:pos="2382"/>
          <w:tab w:val="left" w:leader="none" w:pos="2779"/>
          <w:tab w:val="left" w:leader="none" w:pos="3176"/>
          <w:tab w:val="left" w:leader="none" w:pos="3573"/>
          <w:tab w:val="left" w:leader="none" w:pos="3970"/>
          <w:tab w:val="left" w:leader="none" w:pos="4367"/>
          <w:tab w:val="left" w:leader="none" w:pos="4764"/>
          <w:tab w:val="left" w:leader="none" w:pos="5161"/>
          <w:tab w:val="left" w:leader="none" w:pos="6525"/>
        </w:tabs>
        <w:spacing/>
        <w:ind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АО «Сахаэнерго»</w:t>
        <w:tab/>
        <w:tab/>
        <w:tab/>
        <w:tab/>
        <w:tab/>
        <w:tab/>
        <w:tab/>
        <w:tab/>
        <w:t xml:space="preserve">                   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_____________/П.С. Кондратьев                                                                           ____________/________________/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«_____»_______________20__ г.</w:t>
        <w:tab/>
        <w:tab/>
        <w:t xml:space="preserve">        </w:t>
        <w:tab/>
        <w:t xml:space="preserve">                                               «_____»_________________20__ 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                        </w:t>
      </w:r>
      <w:r>
        <w:rPr>
          <w:sz w:val="20"/>
          <w:szCs w:val="20"/>
          <w:shd w:val="clear" w:color="auto" w:fill="auto"/>
          <w:lang w:val="ru-RU"/>
        </w:rPr>
        <w:t xml:space="preserve">м.п.</w:t>
        <w:tab/>
        <w:tab/>
        <w:tab/>
        <w:tab/>
        <w:tab/>
        <w:tab/>
        <w:t xml:space="preserve">                                     м.п.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  <w:r>
        <w:rPr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left" w:leader="none" w:pos="605"/>
          <w:tab w:val="clear" w:leader="none" w:pos="708"/>
        </w:tabs>
        <w:spacing/>
        <w:ind/>
        <w:jc w:val="lef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</w:rPr>
        <w:tab/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Приложение  №5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к договору______________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от « ___ » ________202__г.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b/>
          <w:sz w:val="20"/>
          <w:szCs w:val="20"/>
          <w:highlight w:val="none"/>
          <w:shd w:val="clear" w:color="auto" w:fill="auto"/>
          <w:lang w:val="ru-RU"/>
        </w:rPr>
      </w:pPr>
      <w:r>
        <w:rPr>
          <w:b/>
          <w:sz w:val="20"/>
          <w:szCs w:val="20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center"/>
        <w:rPr>
          <w:highlight w:val="none"/>
          <w:shd w:val="clear" w:color="auto" w:fill="auto"/>
        </w:rPr>
      </w:pPr>
      <w:r>
        <w:rPr>
          <w:b/>
          <w:color w:val="002060"/>
          <w:sz w:val="20"/>
          <w:szCs w:val="20"/>
          <w:shd w:val="clear" w:color="auto" w:fill="auto"/>
          <w:lang w:val="sah-RU"/>
        </w:rPr>
        <w:t xml:space="preserve">Соглашение об обеспечении охраны труда, промышленной, пожарной и экологической безопасности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sah-RU"/>
        </w:rPr>
      </w:pPr>
      <w:r>
        <w:rPr>
          <w:sz w:val="20"/>
          <w:szCs w:val="20"/>
          <w:shd w:val="clear" w:color="auto" w:fill="auto"/>
          <w:lang w:val="sah-RU"/>
        </w:rPr>
      </w:r>
      <w:r>
        <w:rPr>
          <w:sz w:val="20"/>
          <w:szCs w:val="20"/>
          <w:highlight w:val="none"/>
          <w:shd w:val="clear" w:color="auto" w:fill="auto"/>
          <w:lang w:val="sah-RU"/>
        </w:rPr>
      </w:r>
      <w:r>
        <w:rPr>
          <w:sz w:val="20"/>
          <w:szCs w:val="20"/>
          <w:highlight w:val="none"/>
          <w:shd w:val="clear" w:color="auto" w:fill="auto"/>
          <w:lang w:val="sah-RU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</w:t>
        <w:tab/>
        <w:t xml:space="preserve">Исполнитель обязуется на территории, а также в зданиях и сооружениях Заказчика: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1.1.</w:t>
        <w:tab/>
        <w:t xml:space="preserve">обеспечить исполнение требований регламента допуска подрядных организаций и командированного персонала для выполнения работ на объектах  АО «Сахаэнерго»;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1.2.</w:t>
        <w:tab/>
        <w:t xml:space="preserve">обеспечить соблюдение своими сотрудниками требований охраны труда, промышленной пожарной и экологической безопасности в соответствии с законодательством России;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1.3.</w:t>
        <w:tab/>
        <w:t xml:space="preserve">обеспечить безопасную организацию  и контроль за производством работ;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1.4.</w:t>
        <w:tab/>
        <w:t xml:space="preserve">обеспечить выполнение мероприятий по обес</w:t>
      </w:r>
      <w:r>
        <w:rPr>
          <w:sz w:val="20"/>
          <w:szCs w:val="20"/>
          <w:shd w:val="clear" w:color="auto" w:fill="auto"/>
          <w:lang w:val="sah-RU"/>
        </w:rPr>
        <w:t xml:space="preserve">печению безопасности производства работ, предусмотренных договором («Актом-допуском для производства работ на территории действующего подразделения» при работах в выделенной зоне или «Наряд-допуском» при  проведении совмещенных работ), выданным Заказчиком;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1.5.</w:t>
        <w:tab/>
        <w:t xml:space="preserve">направлять для выполнения работ, обусловленных настоящим Договором  обученный и аттестованный персонал, а также не имеющий медицинских противопоказаний к выполняемой работе;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1.6.</w:t>
        <w:tab/>
        <w:t xml:space="preserve">по письменному запросу Заказчика  предоставлять документы, подтверждающие наличие обучения и необходимых допусков сотрудников Исполнителя к  работам повышенной опасности;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1.7.</w:t>
        <w:tab/>
        <w:t xml:space="preserve">назначить лиц, ответственных за обеспечение охраны труда, промышленной, пожарной и экологической безопасности и предоставить Заказчику копии локальных актов об их назначении;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1.8.</w:t>
        <w:tab/>
        <w:t xml:space="preserve">обеспечить своих работников исправными средствами индивидуальной и коллективной защиты, спецодеждой и спецобувью и контролировать правильное их применение;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1.9.</w:t>
        <w:tab/>
        <w:t xml:space="preserve">содержать производственные территории, участки работ и рабочие места, предоставляемые для производства договорных работ, в чистоте и порядке;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1.10.</w:t>
        <w:tab/>
        <w:t xml:space="preserve">обеспечить исправное сервисное состояние и безопасную эксплуатацию оборудования, инструмента, технологической оснастки, строительных и монтажных машин, механизмов и приборов;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1.11.</w:t>
        <w:tab/>
        <w:t xml:space="preserve">выполнять работы в соответствии с проектной документацией и технологическими регламентами;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1.12.</w:t>
        <w:tab/>
      </w:r>
      <w:r>
        <w:rPr>
          <w:sz w:val="20"/>
          <w:szCs w:val="20"/>
          <w:shd w:val="clear" w:color="auto" w:fill="auto"/>
          <w:lang w:val="ru-RU"/>
        </w:rPr>
        <w:t xml:space="preserve">самостоятельно осуществлять постановку на государственный учет объектов, оказывающих негативное воздействие на окружающую </w:t>
      </w:r>
      <w:r>
        <w:rPr>
          <w:sz w:val="20"/>
          <w:szCs w:val="20"/>
          <w:shd w:val="clear" w:color="auto" w:fill="auto"/>
          <w:lang w:val="ru-RU"/>
        </w:rPr>
        <w:t xml:space="preserve">среду, производственный экологический контроль, проходить государственную экологическую экспертизу (при необходимости), выполнять требования воздухоохранного законодательства по разработке и выполнении мероприятий по сокращению выбросов в период неблагопри</w:t>
      </w:r>
      <w:r>
        <w:rPr>
          <w:sz w:val="20"/>
          <w:szCs w:val="20"/>
          <w:shd w:val="clear" w:color="auto" w:fill="auto"/>
          <w:lang w:val="ru-RU"/>
        </w:rPr>
        <w:t xml:space="preserve">ятных метеорологических условий, получать и разрабатывать разрешительную природоохранную документацию, предоставлять статистическую и иную отчетность, вносить плату за негативное воздействие на окружающую среду при проведении работ на территории Заказчика;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1.13.</w:t>
        <w:tab/>
        <w:t xml:space="preserve">за свой счет обеспечить сбор и </w:t>
      </w:r>
      <w:r>
        <w:rPr>
          <w:sz w:val="20"/>
          <w:szCs w:val="20"/>
          <w:shd w:val="clear" w:color="auto" w:fill="auto"/>
          <w:lang w:val="sah-RU"/>
        </w:rPr>
        <w:t xml:space="preserve">вывоз в установленном порядке бытовых и производственных отходов, образовавшихся в результате проведения работ (если это предусмотрено договором), а также сбор, безопасное временное хранение и вывоз неиспользованных химреагентов и других токсичных отходов;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1.14.</w:t>
        <w:tab/>
        <w:t xml:space="preserve">исключить факты загрязнения, самовольного использования земель, водных и лесных ресурсов, несанкционированного сброса, выброса, размещения отходов, а также, несанкционированного обращения с источниками ионизирующего излучения;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1.15.</w:t>
        <w:tab/>
        <w:t xml:space="preserve">компенсировать за свой счет нанесенный вред окружающей среде и убытки, причиненные Заказчику. Произвести полную ликвидацию экологических последствий происшествий, произошедших по его вине;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1.16.</w:t>
        <w:tab/>
        <w:t xml:space="preserve">использовать в производстве химреагенты, имеющие паспорта безопасности;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1.17.</w:t>
        <w:tab/>
        <w:t xml:space="preserve">до начала работы направлять персонал, привлекаемый для работы на оборудовании и территории действующего подразделения Заказчика, на вводный и первичный, целевой (при необходимости) инструктаж к Заказчику;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1.18.</w:t>
        <w:tab/>
        <w:t xml:space="preserve">незамедлительно сообщать Заказчику о несчастных случаях на производстве, происшедших на территории компании с персоналом Исполнителя;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1.19.</w:t>
        <w:tab/>
        <w:t xml:space="preserve">информировать Заказчика обо всех случаях нарушения природоохранного законодательства;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1.20.</w:t>
        <w:tab/>
        <w:t xml:space="preserve">обеспечить доступ и необходимые условия для проведения проверок безопасной организации работ должностными лицами Заказчика;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1.21.</w:t>
        <w:tab/>
        <w:t xml:space="preserve">обеспечить разработку и выполнение мероприятий по устранению замечаний, выявленных Заказчиком;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1.22.</w:t>
        <w:tab/>
        <w:t xml:space="preserve">незамедлительно отстранять от работы своих сотрудников, находящихся в состоянии алкогольного, наркотического и иного токсического опьянения.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Исполнитель самостоятельно несет ответственность за допущенные им при проведении работ нарушения природоохранного законодательства, а также по возмещению вреда, нанесенного им окружающей природной среде.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В случае невыполнения или ненадлежащего выполнения </w:t>
      </w:r>
      <w:r>
        <w:rPr>
          <w:sz w:val="20"/>
          <w:szCs w:val="20"/>
          <w:shd w:val="clear" w:color="auto" w:fill="auto"/>
          <w:lang w:val="sah-RU"/>
        </w:rPr>
        <w:t xml:space="preserve">Исполнителем указанных выше требований Заказчик имеет право удержать из суммы оплаты выполненных работ по подрядному договору сумму, равную размеру убытка, фактической стоимости невыполненных мероприятий или величине ущерба, нанесенного окружающей среде.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Исполнитель ежеквартально представляе</w:t>
      </w:r>
      <w:r>
        <w:rPr>
          <w:sz w:val="20"/>
          <w:szCs w:val="20"/>
          <w:shd w:val="clear" w:color="auto" w:fill="auto"/>
          <w:lang w:val="sah-RU"/>
        </w:rPr>
        <w:t xml:space="preserve">т отчет о результатах своей работы в интересах Заказчика (включая субподрядчика (ов)) в области ОТ, ПБ и ООС за предыдущий отчетный период не позднее 5 числа следующего месяца. Если иное не согласовано сторонами, в такой отчет включаются следующие пункты: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a)</w:t>
        <w:tab/>
        <w:t xml:space="preserve">все случаи производственного травматизма при выполнении работ в интересах Заказчика;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b)</w:t>
        <w:tab/>
        <w:t xml:space="preserve">все прочие аварии, инциденты, </w:t>
      </w:r>
      <w:r>
        <w:rPr>
          <w:sz w:val="20"/>
          <w:szCs w:val="20"/>
          <w:shd w:val="clear" w:color="auto" w:fill="auto"/>
          <w:lang w:val="sah-RU"/>
        </w:rPr>
        <w:t xml:space="preserve">разливы и иные незапланированные выбросы, сбросы, которые привели или могли привести к значительным телесным повреждениям, ущербу, убыткам или о которых должно быть сообщено компетентному государственному органу при выполнении работ в интересах Заказчика;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c)</w:t>
        <w:tab/>
        <w:t xml:space="preserve">все дорожно-транспортные происшествия, относящиеся к тому периоду времени, когда Исполнитель выполнял работы для Заказчика;  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d)</w:t>
        <w:tab/>
        <w:t xml:space="preserve">полученные от государственных контролирующих органов предписания, акты и степень устранения указанных в них нарушений; полученные уведомления о планируемом судебном преследовании или ином судебном разбирательстве;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e)</w:t>
        <w:tab/>
        <w:t xml:space="preserve">любое другое событие, подлежащее сообщению компетентному государственному органу; 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f)</w:t>
        <w:tab/>
        <w:t xml:space="preserve">справка (описание) о проведенных мероприятиях, проверках, осмотрах и т.д. по вопросам ОТ, ПБ и ООС при выполнении работ в интересах Заказчика;   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g)</w:t>
        <w:tab/>
        <w:t xml:space="preserve">оценочное общее количество рабочих часов, отработанных</w:t>
      </w:r>
      <w:r>
        <w:rPr>
          <w:sz w:val="20"/>
          <w:szCs w:val="20"/>
          <w:shd w:val="clear" w:color="auto" w:fill="auto"/>
          <w:lang w:val="sah-RU"/>
        </w:rPr>
        <w:t xml:space="preserve"> персоналом группы Исполнителя  на месте проведения работ, общее число работников группы Исполнителя на месте проведения работ, а также суммарный пробег транспортных средств группы Исполнителя, задействованных при выполнении работ в интересах Заказчика.  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Кроме указанного отчета, Исполнитель обязан соблюдать требования Заказчика в отношении отчетности по авариям и несчастным случаям и процедуры расследования происшествий.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Исполнитель обязуется соблюдать Корпоративные стандарты АО «Сахаэнерго».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2.</w:t>
        <w:tab/>
        <w:t xml:space="preserve">Заказчик обязуется: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2.1.</w:t>
        <w:tab/>
        <w:t xml:space="preserve">провести  и оформить вводный, первичный, целевой (при необходимости)  инструктажи с работниками Исполнителя;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2.2.</w:t>
        <w:tab/>
        <w:t xml:space="preserve">оформить и передать Исполнителю Акт-допуск (наряд-допуск) для производства работ Исполнителем;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2.3.</w:t>
        <w:tab/>
        <w:t xml:space="preserve">выполнить мероприятия в соответствии с переданными Заказчику Актом-допуском </w:t>
      </w:r>
      <w:r>
        <w:rPr>
          <w:sz w:val="20"/>
          <w:szCs w:val="20"/>
          <w:shd w:val="clear" w:color="auto" w:fill="auto"/>
          <w:lang w:val="sah-RU"/>
        </w:rPr>
        <w:t xml:space="preserve">или наряд-допусками   (отключение/включение оборудования и коммуникаций, поддержание установленных режимов их работы действующего оборудования), обеспечивающую безопасность проведения работ на предоставленной Исполнителю территории (зданиях, оборудовании);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2.4.</w:t>
        <w:tab/>
        <w:t xml:space="preserve">предоставить Исполнителю организованные места для складирования отходов, в случае, если это предусмотрено Договором;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2.5.</w:t>
        <w:tab/>
        <w:t xml:space="preserve">сообщать Исполнителю о несчастных случаях на производстве происшедших на территории Заказчика с персоналом Исполнителя;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2.6.</w:t>
        <w:tab/>
        <w:t xml:space="preserve">своевременно сообщать Исполнителю обо всех  изменениях, которые могут повлиять на безопасность  персонала Исполнителя;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2.7.</w:t>
        <w:tab/>
        <w:t xml:space="preserve">назначать и сообщать об ответственных лицах за  безопасное проведение работ от Заказчика  при проведении совмещенных работ повышенной опасности;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2.8.</w:t>
        <w:tab/>
        <w:t xml:space="preserve">сообщать Исполнителю о его сотрудниках, находящихся на территории или в зданиях и сооружениях, принадлежащих Заказчику, в состоянии алкогольного, наркотического или иного токсического опьянения.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3.</w:t>
        <w:tab/>
        <w:t xml:space="preserve">Заказчик имеет право: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3.1.</w:t>
        <w:tab/>
        <w:t xml:space="preserve">проводить проверки обеспечения безопасного производства работ Исполнителем;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3.2.</w:t>
        <w:tab/>
        <w:t xml:space="preserve">удалять с территории Заказчика персонал Исполнителя не прошедший вводный инструктаж, не имеющий соответствующих удостовер</w:t>
      </w:r>
      <w:r>
        <w:rPr>
          <w:sz w:val="20"/>
          <w:szCs w:val="20"/>
          <w:shd w:val="clear" w:color="auto" w:fill="auto"/>
          <w:lang w:val="sah-RU"/>
        </w:rPr>
        <w:t xml:space="preserve">ений на право выполнения работы повышенной опасности, а также нарушающий требования охраны труда и пожарной безопасности с последующим уведомлением Исполнителя, а также находящийся в состоянии алкогольного, наркотического или иного токсического опьянения.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sah-RU"/>
        </w:rPr>
        <w:t xml:space="preserve">Настоящее соглашение является неотъемлемой частью Договора возмездного оказания услуг № ___  от</w:t>
        <w:tab/>
        <w:t xml:space="preserve">«___»________________20____г.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firstLine="709"/>
        <w:jc w:val="both"/>
        <w:rPr>
          <w:sz w:val="20"/>
          <w:szCs w:val="20"/>
          <w:highlight w:val="none"/>
          <w:shd w:val="clear" w:color="auto" w:fill="auto"/>
          <w:lang w:val="sah-RU"/>
        </w:rPr>
      </w:pPr>
      <w:r>
        <w:rPr>
          <w:sz w:val="20"/>
          <w:szCs w:val="20"/>
          <w:shd w:val="clear" w:color="auto" w:fill="auto"/>
          <w:lang w:val="sah-RU"/>
        </w:rPr>
      </w:r>
      <w:r>
        <w:rPr>
          <w:sz w:val="20"/>
          <w:szCs w:val="20"/>
          <w:highlight w:val="none"/>
          <w:shd w:val="clear" w:color="auto" w:fill="auto"/>
          <w:lang w:val="sah-RU"/>
        </w:rPr>
      </w:r>
      <w:r>
        <w:rPr>
          <w:sz w:val="20"/>
          <w:szCs w:val="20"/>
          <w:highlight w:val="none"/>
          <w:shd w:val="clear" w:color="auto" w:fill="auto"/>
          <w:lang w:val="sah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sah-RU"/>
        </w:rPr>
      </w:pPr>
      <w:r>
        <w:rPr>
          <w:sz w:val="20"/>
          <w:szCs w:val="20"/>
          <w:shd w:val="clear" w:color="auto" w:fill="auto"/>
          <w:lang w:val="sah-RU"/>
        </w:rPr>
      </w:r>
      <w:r>
        <w:rPr>
          <w:sz w:val="20"/>
          <w:szCs w:val="20"/>
          <w:highlight w:val="none"/>
          <w:shd w:val="clear" w:color="auto" w:fill="auto"/>
          <w:lang w:val="sah-RU"/>
        </w:rPr>
      </w:r>
      <w:r>
        <w:rPr>
          <w:sz w:val="20"/>
          <w:szCs w:val="20"/>
          <w:highlight w:val="none"/>
          <w:shd w:val="clear" w:color="auto" w:fill="auto"/>
          <w:lang w:val="sah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sah-RU"/>
        </w:rPr>
      </w:pPr>
      <w:r>
        <w:rPr>
          <w:sz w:val="20"/>
          <w:szCs w:val="20"/>
          <w:shd w:val="clear" w:color="auto" w:fill="auto"/>
          <w:lang w:val="sah-RU"/>
        </w:rPr>
      </w:r>
      <w:r>
        <w:rPr>
          <w:sz w:val="20"/>
          <w:szCs w:val="20"/>
          <w:highlight w:val="none"/>
          <w:shd w:val="clear" w:color="auto" w:fill="auto"/>
          <w:lang w:val="sah-RU"/>
        </w:rPr>
      </w:r>
      <w:r>
        <w:rPr>
          <w:sz w:val="20"/>
          <w:szCs w:val="20"/>
          <w:highlight w:val="none"/>
          <w:shd w:val="clear" w:color="auto" w:fill="auto"/>
          <w:lang w:val="sah-RU"/>
        </w:rPr>
      </w:r>
    </w:p>
    <w:tbl>
      <w:tblPr>
        <w:tblW w:w="9571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b/>
                <w:sz w:val="20"/>
                <w:szCs w:val="20"/>
                <w:shd w:val="clear" w:color="auto" w:fill="auto"/>
              </w:rPr>
              <w:t xml:space="preserve">Заказчик: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b/>
                <w:sz w:val="20"/>
                <w:szCs w:val="20"/>
                <w:shd w:val="clear" w:color="auto" w:fill="auto"/>
                <w:lang w:val="ru-RU"/>
              </w:rPr>
              <w:t xml:space="preserve">Исполнитель</w:t>
            </w:r>
            <w:r>
              <w:rPr>
                <w:b/>
                <w:sz w:val="20"/>
                <w:szCs w:val="20"/>
                <w:shd w:val="clear" w:color="auto" w:fill="auto"/>
              </w:rPr>
              <w:t xml:space="preserve">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</w:tbl>
    <w:p>
      <w:pPr>
        <w:pStyle w:val="767"/>
        <w:pBdr/>
        <w:spacing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lef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Приложение  №6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к договору______________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от « ___ » ________202__г.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firstLine="0" w:left="6379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jc w:val="center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Размер ответственности Исполнителя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center"/>
        <w:rPr>
          <w:highlight w:val="none"/>
          <w:shd w:val="clear" w:color="auto" w:fill="auto"/>
        </w:rPr>
      </w:pPr>
      <w:r>
        <w:rPr>
          <w:b/>
          <w:sz w:val="20"/>
          <w:szCs w:val="20"/>
          <w:shd w:val="clear" w:color="auto" w:fill="auto"/>
          <w:lang w:val="ru-RU"/>
        </w:rPr>
        <w:t xml:space="preserve">за нарушения пропускного и внутриобъектового режима, </w:t>
      </w:r>
      <w:r>
        <w:rPr>
          <w:b/>
          <w:color w:val="000000"/>
          <w:sz w:val="20"/>
          <w:szCs w:val="20"/>
          <w:shd w:val="clear" w:color="auto" w:fill="auto"/>
          <w:lang w:val="ru-RU"/>
        </w:rPr>
        <w:t xml:space="preserve">требований охраны труда, промышленной безопасности, пожарной безопасности, охраны окружающей среды, санитарно-эпидемиологических правил и норм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/>
        <w:jc w:val="center"/>
        <w:rPr>
          <w:b/>
          <w:sz w:val="20"/>
          <w:szCs w:val="20"/>
          <w:highlight w:val="none"/>
          <w:shd w:val="clear" w:color="auto" w:fill="auto"/>
          <w:lang w:val="ru-RU"/>
        </w:rPr>
      </w:pPr>
      <w:r>
        <w:rPr>
          <w:b/>
          <w:sz w:val="20"/>
          <w:szCs w:val="20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  <w:r>
        <w:rPr>
          <w:b/>
          <w:sz w:val="20"/>
          <w:szCs w:val="20"/>
          <w:highlight w:val="none"/>
          <w:shd w:val="clear" w:color="auto" w:fill="auto"/>
          <w:lang w:val="ru-RU"/>
        </w:rPr>
      </w:r>
    </w:p>
    <w:tbl>
      <w:tblPr>
        <w:tblW w:w="9571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067"/>
        <w:gridCol w:w="5503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67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b/>
                <w:sz w:val="20"/>
                <w:szCs w:val="20"/>
                <w:shd w:val="clear" w:color="auto" w:fill="auto"/>
              </w:rPr>
              <w:t xml:space="preserve">Виды нарушений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3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b/>
                <w:sz w:val="20"/>
                <w:szCs w:val="20"/>
                <w:shd w:val="clear" w:color="auto" w:fill="auto"/>
              </w:rPr>
              <w:t xml:space="preserve">Штрафные санкции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67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1. Нарушение правил пожарной безопасности (ППБ):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3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67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</w:rPr>
              <w:t xml:space="preserve">1.1.Нарушение ППБ без возникновения пожара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3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25</w:t>
            </w:r>
            <w:r>
              <w:rPr>
                <w:sz w:val="20"/>
                <w:szCs w:val="20"/>
                <w:shd w:val="clear" w:color="auto" w:fill="auto"/>
              </w:rPr>
              <w:t xml:space="preserve"> </w:t>
            </w: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000 (двадцать пять тысяч) рублей за каждый случай нарушения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67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3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50</w:t>
            </w:r>
            <w:r>
              <w:rPr>
                <w:sz w:val="20"/>
                <w:szCs w:val="20"/>
                <w:shd w:val="clear" w:color="auto" w:fill="auto"/>
              </w:rPr>
              <w:t xml:space="preserve"> </w:t>
            </w: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000 (пятьдесят тысяч) рублей за каждый случай нарушения.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67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1.3. Нарушение ППБ, ставшее причиной возникновения пожара, причинившего ущерб имуществу Заказчика и (или) здоровью людей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3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250 000 (двести пятьдесят тысяч) рублей за каждый случай нарушения.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67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2. Нарушение пропускного и внутриобъектового режима, </w:t>
            </w:r>
            <w:r>
              <w:rPr>
                <w:color w:val="000000"/>
                <w:sz w:val="20"/>
                <w:szCs w:val="20"/>
                <w:shd w:val="clear" w:color="auto" w:fill="auto"/>
                <w:lang w:val="ru-RU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3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50</w:t>
            </w:r>
            <w:r>
              <w:rPr>
                <w:sz w:val="20"/>
                <w:szCs w:val="20"/>
                <w:shd w:val="clear" w:color="auto" w:fill="auto"/>
              </w:rPr>
              <w:t xml:space="preserve"> </w:t>
            </w: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000 (пятьдесят тысяч) рублей за каждый случай нарушения;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500 (пятьсот) рублей в случае утраты или приведения в негодность электронного пропуска, выданного Заказчиком;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jc w:val="both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</w:tbl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tbl>
      <w:tblPr>
        <w:tblW w:w="9571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b/>
                <w:sz w:val="20"/>
                <w:szCs w:val="20"/>
                <w:shd w:val="clear" w:color="auto" w:fill="auto"/>
              </w:rPr>
              <w:t xml:space="preserve">Заказчик: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b/>
                <w:sz w:val="20"/>
                <w:szCs w:val="20"/>
                <w:shd w:val="clear" w:color="auto" w:fill="auto"/>
                <w:lang w:val="ru-RU"/>
              </w:rPr>
              <w:t xml:space="preserve">Исполнитель</w:t>
            </w:r>
            <w:r>
              <w:rPr>
                <w:b/>
                <w:sz w:val="20"/>
                <w:szCs w:val="20"/>
                <w:shd w:val="clear" w:color="auto" w:fill="auto"/>
              </w:rPr>
              <w:t xml:space="preserve">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</w:rPr>
              <w:t xml:space="preserve">_______________ / 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/>
              <w:rPr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</w:rPr>
              <w:t xml:space="preserve">_______________ / 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/>
              <w:rPr>
                <w:sz w:val="20"/>
                <w:szCs w:val="20"/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</w:rPr>
            </w:r>
          </w:p>
        </w:tc>
      </w:tr>
    </w:tbl>
    <w:p>
      <w:pPr>
        <w:pStyle w:val="767"/>
        <w:pBdr/>
        <w:spacing/>
        <w:ind w:firstLine="0" w:left="6379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firstLine="0" w:left="6379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firstLine="0" w:left="6379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i/>
          <w:color w:val="ff0000"/>
          <w:sz w:val="20"/>
          <w:szCs w:val="20"/>
          <w:highlight w:val="none"/>
          <w:shd w:val="clear" w:color="auto" w:fill="auto"/>
          <w:lang w:val="ru-RU"/>
        </w:rPr>
      </w:pPr>
      <w:r>
        <w:rPr>
          <w:i/>
          <w:color w:val="ff0000"/>
          <w:sz w:val="20"/>
          <w:szCs w:val="20"/>
          <w:shd w:val="clear" w:color="auto" w:fill="auto"/>
          <w:lang w:val="ru-RU"/>
        </w:rPr>
      </w:r>
      <w:r>
        <w:rPr>
          <w:i/>
          <w:color w:val="ff0000"/>
          <w:sz w:val="20"/>
          <w:szCs w:val="20"/>
          <w:highlight w:val="none"/>
          <w:shd w:val="clear" w:color="auto" w:fill="auto"/>
          <w:lang w:val="ru-RU"/>
        </w:rPr>
      </w:r>
      <w:r>
        <w:rPr>
          <w:i/>
          <w:color w:val="ff0000"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lef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lef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Приложение  №7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к договору______________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от « ___ » ________202__г.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8222"/>
        </w:tabs>
        <w:spacing/>
        <w:ind w:firstLine="0" w:left="482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567"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 w:line="276" w:lineRule="auto"/>
        <w:ind w:right="0" w:firstLine="709"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Методика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расчета упущенной выгоды (выручки) и дополнительных обязательств участника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ОРЭМ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от недопоставки электрической энергии и мощности на ОРЭМ в отдельной территории ценовой зоны оптового рынка, ранее относившейся к неценовой зоне оптового рынка Дальнего Востока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767"/>
        <w:pBdr/>
        <w:spacing w:line="276" w:lineRule="auto"/>
        <w:ind w:right="0" w:firstLine="709" w:lef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Для определения снижения оплаты мощности в результате аварийных, неотложных, неплановых ремонтов, продления ремонтов, вынужденных простоев, снижения максимальной мощности используются следующие документы: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67"/>
        <w:pBdr/>
        <w:spacing w:after="20" w:before="120" w:line="276" w:lineRule="auto"/>
        <w:ind w:right="0" w:firstLine="709" w:left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Заяв</w:t>
      </w:r>
      <w:r>
        <w:rPr>
          <w:rFonts w:ascii="Times New Roman" w:hAnsi="Times New Roman" w:cs="Times New Roman"/>
          <w:sz w:val="22"/>
          <w:szCs w:val="22"/>
        </w:rPr>
        <w:t xml:space="preserve">ки на изменения эксплуатационного состояния или технологического режима работы энергетического оборудования, находящегося в диспетчерском ведении ОДУ Востока подаваемые посредством использования единого программного комплекса (ПК «Заявки») в соответствии с</w:t>
      </w:r>
      <w:r>
        <w:rPr>
          <w:rFonts w:ascii="Times New Roman" w:hAnsi="Times New Roman" w:cs="Times New Roman"/>
          <w:sz w:val="22"/>
          <w:szCs w:val="22"/>
        </w:rPr>
        <w:t xml:space="preserve"> п. 2, 3, 4 «Положения о порядке оформления, подачи,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Филиала АО «СО ЕЭС» ОДУ Востока» (далее – Положение).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В заявках должны быть указаны: </w:t>
      </w:r>
      <w:r>
        <w:rPr>
          <w:rFonts w:ascii="Times New Roman" w:hAnsi="Times New Roman" w:cs="Times New Roman"/>
          <w:bCs/>
          <w:sz w:val="22"/>
          <w:szCs w:val="22"/>
        </w:rPr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767"/>
        <w:numPr>
          <w:ilvl w:val="0"/>
          <w:numId w:val="26"/>
        </w:numPr>
        <w:pBdr/>
        <w:spacing w:line="276" w:lineRule="auto"/>
        <w:ind w:right="0" w:firstLine="709" w:left="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номер заявки;</w:t>
      </w:r>
      <w:r>
        <w:rPr>
          <w:rFonts w:ascii="Times New Roman" w:hAnsi="Times New Roman" w:cs="Times New Roman"/>
          <w:bCs/>
          <w:sz w:val="22"/>
          <w:szCs w:val="22"/>
        </w:rPr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767"/>
        <w:numPr>
          <w:ilvl w:val="0"/>
          <w:numId w:val="26"/>
        </w:numPr>
        <w:pBdr/>
        <w:spacing w:line="276" w:lineRule="auto"/>
        <w:ind w:right="0" w:firstLine="709" w:left="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подающее предприятие;</w:t>
      </w:r>
      <w:r>
        <w:rPr>
          <w:rFonts w:ascii="Times New Roman" w:hAnsi="Times New Roman" w:cs="Times New Roman"/>
          <w:bCs/>
          <w:sz w:val="22"/>
          <w:szCs w:val="22"/>
        </w:rPr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767"/>
        <w:numPr>
          <w:ilvl w:val="0"/>
          <w:numId w:val="26"/>
        </w:numPr>
        <w:pBdr/>
        <w:spacing w:line="276" w:lineRule="auto"/>
        <w:ind w:right="0" w:firstLine="709" w:left="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оборудование, по которому фиксируется изменение эксплуатационного состояния или технологического режима работы;</w:t>
      </w:r>
      <w:r>
        <w:rPr>
          <w:rFonts w:ascii="Times New Roman" w:hAnsi="Times New Roman" w:cs="Times New Roman"/>
          <w:bCs/>
          <w:sz w:val="22"/>
          <w:szCs w:val="22"/>
        </w:rPr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767"/>
        <w:numPr>
          <w:ilvl w:val="0"/>
          <w:numId w:val="26"/>
        </w:numPr>
        <w:pBdr/>
        <w:spacing w:line="276" w:lineRule="auto"/>
        <w:ind w:right="0" w:firstLine="709" w:left="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вид ремонта, вид и категория заявки;</w:t>
      </w:r>
      <w:r>
        <w:rPr>
          <w:rFonts w:ascii="Times New Roman" w:hAnsi="Times New Roman" w:cs="Times New Roman"/>
          <w:bCs/>
          <w:sz w:val="22"/>
          <w:szCs w:val="22"/>
        </w:rPr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767"/>
        <w:numPr>
          <w:ilvl w:val="0"/>
          <w:numId w:val="26"/>
        </w:numPr>
        <w:pBdr/>
        <w:spacing w:line="276" w:lineRule="auto"/>
        <w:ind w:right="0" w:firstLine="709" w:left="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величина снижения максимальной мощности;</w:t>
      </w:r>
      <w:r>
        <w:rPr>
          <w:rFonts w:ascii="Times New Roman" w:hAnsi="Times New Roman" w:cs="Times New Roman"/>
          <w:bCs/>
          <w:sz w:val="22"/>
          <w:szCs w:val="22"/>
        </w:rPr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767"/>
        <w:numPr>
          <w:ilvl w:val="0"/>
          <w:numId w:val="26"/>
        </w:numPr>
        <w:pBdr/>
        <w:spacing w:line="276" w:lineRule="auto"/>
        <w:ind w:right="0" w:firstLine="709" w:left="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содержание работ;</w:t>
      </w:r>
      <w:r>
        <w:rPr>
          <w:rFonts w:ascii="Times New Roman" w:hAnsi="Times New Roman" w:cs="Times New Roman"/>
          <w:bCs/>
          <w:sz w:val="22"/>
          <w:szCs w:val="22"/>
        </w:rPr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767"/>
        <w:numPr>
          <w:ilvl w:val="0"/>
          <w:numId w:val="26"/>
        </w:numPr>
        <w:pBdr/>
        <w:spacing w:line="276" w:lineRule="auto"/>
        <w:ind w:right="0" w:firstLine="709" w:left="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время подачи заявки;</w:t>
      </w:r>
      <w:r>
        <w:rPr>
          <w:rFonts w:ascii="Times New Roman" w:hAnsi="Times New Roman" w:cs="Times New Roman"/>
          <w:bCs/>
          <w:sz w:val="22"/>
          <w:szCs w:val="22"/>
        </w:rPr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767"/>
        <w:numPr>
          <w:ilvl w:val="0"/>
          <w:numId w:val="26"/>
        </w:numPr>
        <w:pBdr/>
        <w:spacing w:line="276" w:lineRule="auto"/>
        <w:ind w:right="0"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время начала и конца действия заявки и другое, согласно приложения № 6 к Положению.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67"/>
        <w:pBdr/>
        <w:spacing w:after="20" w:before="1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 xml:space="preserve">2.</w:t>
        <w:tab/>
        <w:t xml:space="preserve"> Данные о параметрах готовности генерирующего оборудования к выработке электроэнергии (далее – ГРМ), а также информация о фактической нагрузке по данным СОТИАССО на кон</w:t>
      </w:r>
      <w:r>
        <w:rPr>
          <w:rFonts w:ascii="Times New Roman" w:hAnsi="Times New Roman" w:cs="Times New Roman"/>
          <w:sz w:val="22"/>
          <w:szCs w:val="22"/>
        </w:rPr>
        <w:t xml:space="preserve">ец каждого часа отчетного месяца по ГТП, сформированные Системным оператором в соответствии с п. 6  «Технических требований к генерирующему оборудованию участников оптового рынка», п. 5 «Порядка установления соответствия генерирующего оборудования участник</w:t>
      </w:r>
      <w:r>
        <w:rPr>
          <w:rFonts w:ascii="Times New Roman" w:hAnsi="Times New Roman" w:cs="Times New Roman"/>
          <w:sz w:val="22"/>
          <w:szCs w:val="22"/>
        </w:rPr>
        <w:t xml:space="preserve">ов оптового рынка техническим требованиям» и пп. 3.4 Регламента определения объемов фактически поставленной на оптовый рынок мощности (приложение № 13 к Договору о присоединении к торговой системе оптового рынка)» регистрируется значения снижения мощности: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120" w:line="276" w:lineRule="auto"/>
        <w:ind w:right="0" w:firstLine="709" w:left="0"/>
        <w:jc w:val="both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64160" cy="220980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264160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width:20.80pt;height:17.40pt;mso-wrap-distance-left:0.00pt;mso-wrap-distance-top:0.00pt;mso-wrap-distance-right:0.00pt;mso-wrap-distance-bottom:0.00pt;z-index:1;" stroked="f">
                <v:imagedata r:id="rId15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величина согласованных ограничений установленной мощности в пределах, заявленных по процедуре конкурентного отбора мощности (КОМ);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120" w:line="276" w:lineRule="auto"/>
        <w:ind w:right="0" w:firstLine="709" w:left="0"/>
        <w:jc w:val="both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64160" cy="220980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264160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" o:spid="_x0000_s3" type="#_x0000_t75" style="width:20.80pt;height:17.40pt;mso-wrap-distance-left:0.00pt;mso-wrap-distance-top:0.00pt;mso-wrap-distance-right:0.00pt;mso-wrap-distance-bottom:0.00pt;z-index:1;" stroked="f">
                <v:imagedata r:id="rId16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величина согласованных ограничений установленной мощности сверх, заявленных в КОМ;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22417" cy="218427"/>
                <wp:effectExtent l="0" t="0" r="0" b="0"/>
                <wp:docPr id="5" name="_x0000_i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63136489" name=""/>
                        <pic:cNvPicPr/>
                        <pic:nvPr/>
                      </pic:nvPicPr>
                      <pic:blipFill>
                        <a:blip r:embed="rId17"/>
                        <a:srcRect l="-783" t="-1157" r="-783" b="-1156"/>
                        <a:stretch/>
                      </pic:blipFill>
                      <pic:spPr bwMode="auto">
                        <a:xfrm>
                          <a:off x="0" y="0"/>
                          <a:ext cx="322416" cy="2184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" o:spid="_x0000_s4" type="#_x0000_t75" style="width:25.39pt;height:17.20pt;mso-wrap-distance-left:0.00pt;mso-wrap-distance-top:0.00pt;mso-wrap-distance-right:0.00pt;mso-wrap-distance-bottom:0.00pt;z-index:1;" stroked="f">
                <v:imagedata r:id="rId17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величина согласованного планового ремонтного снижения мощности;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4965" cy="226060"/>
                <wp:effectExtent l="0" t="0" r="0" b="0"/>
                <wp:docPr id="6" name="_x0000_i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8"/>
                        <a:stretch/>
                      </pic:blipFill>
                      <pic:spPr bwMode="auto">
                        <a:xfrm>
                          <a:off x="0" y="0"/>
                          <a:ext cx="354965" cy="22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5" o:spid="_x0000_s5" type="#_x0000_t75" style="width:27.95pt;height:17.80pt;mso-wrap-distance-left:0.00pt;mso-wrap-distance-top:0.00pt;mso-wrap-distance-right:0.00pt;mso-wrap-distance-bottom:0.00pt;z-index:1;" stroked="f">
                <v:imagedata r:id="rId18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плановое ремонтное снижение мощности, обусловленное проведением ремонта длительностью более 180 (сто восьмидесяти) суток для ТЭС в год;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5273" cy="168910"/>
                <wp:effectExtent l="0" t="0" r="0" b="0"/>
                <wp:docPr id="7" name="_x0000_i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25273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6" o:spid="_x0000_s6" type="#_x0000_t75" style="width:1.99pt;height:13.30pt;mso-wrap-distance-left:0.00pt;mso-wrap-distance-top:0.00pt;mso-wrap-distance-right:0.00pt;mso-wrap-distance-bottom:0.00pt;z-index:1;" stroked="f">
                <v:imagedata r:id="rId1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итоговое значение согласованного планового ремонтного снижения располагаемой мощности;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position w:val="-6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61315" cy="226060"/>
                <wp:effectExtent l="0" t="0" r="0" b="0"/>
                <wp:docPr id="8" name="_x0000_i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/>
                        <a:stretch/>
                      </pic:blipFill>
                      <pic:spPr bwMode="auto">
                        <a:xfrm>
                          <a:off x="0" y="0"/>
                          <a:ext cx="361315" cy="22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7" o:spid="_x0000_s7" type="#_x0000_t75" style="width:28.45pt;height:17.80pt;mso-wrap-distance-left:0.00pt;mso-wrap-distance-top:0.00pt;mso-wrap-distance-right:0.00pt;mso-wrap-distance-bottom:0.00pt;z-index:1;" stroked="f">
                <v:imagedata r:id="rId2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плановое ремонтное снижение мощности по модернизируемым генерирующим объектом вне установленных сроков;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45417" cy="272381"/>
                <wp:effectExtent l="0" t="0" r="0" b="0"/>
                <wp:docPr id="9" name="_x0000_i10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82528752" name="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rcRect l="-277" t="-566" r="-277" b="-566"/>
                        <a:stretch/>
                      </pic:blipFill>
                      <pic:spPr bwMode="auto">
                        <a:xfrm>
                          <a:off x="0" y="0"/>
                          <a:ext cx="545416" cy="272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8" o:spid="_x0000_s8" type="#_x0000_t75" style="width:42.95pt;height:21.45pt;mso-wrap-distance-left:0.00pt;mso-wrap-distance-top:0.00pt;mso-wrap-distance-right:0.00pt;mso-wrap-distance-bottom:0.00pt;z-index:1;" stroked="f">
                <v:imagedata r:id="rId21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снижение максимальной мощности, связанное с ремонтом основного или вспомогательного оборудования, рассчитанное на основании заявленного участником оптового рынка значения, поданного в уведомлении о составе и параметрах оборудовани</w:t>
      </w:r>
      <w:r>
        <w:rPr>
          <w:rFonts w:ascii="Times New Roman" w:hAnsi="Times New Roman" w:cs="Times New Roman"/>
          <w:sz w:val="22"/>
          <w:szCs w:val="22"/>
        </w:rPr>
        <w:t xml:space="preserve">я для входящей в состав Дальневосточного федерального округа отдельной территории, ранее относившейся к неценовым зонам, – до 3 часов 00 минут московского времени (10 часов 00 минут хабаровского времени) суток Х-2), для часов с порядковыми номерами от 120;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24298" cy="264566"/>
                <wp:effectExtent l="0" t="0" r="0" b="0"/>
                <wp:docPr id="10" name="_x0000_i103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55935636" name=""/>
                        <pic:cNvPicPr/>
                        <pic:nvPr/>
                      </pic:nvPicPr>
                      <pic:blipFill>
                        <a:blip r:embed="rId23">
                          <a:extLst>
                            <a:ext uri="{96DAC541-7B7A-43D3-8B79-37D633B846F1}">
                              <asvg:svgBlip xmlns:asvg="http://schemas.microsoft.com/office/drawing/2016/SVG/main" r:embed="rId24"/>
                            </a:ext>
                          </a:extLst>
                        </a:blip>
                        <a:srcRect l="-277" t="-541" r="-277" b="-540"/>
                        <a:stretch/>
                      </pic:blipFill>
                      <pic:spPr bwMode="auto">
                        <a:xfrm>
                          <a:off x="0" y="0"/>
                          <a:ext cx="524297" cy="2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9" o:spid="_x0000_s9" type="#_x0000_t75" style="width:41.28pt;height:20.83pt;mso-wrap-distance-left:0.00pt;mso-wrap-distance-top:0.00pt;mso-wrap-distance-right:0.00pt;mso-wrap-distance-bottom:0.00pt;z-index:1;" stroked="f">
                <v:imagedata r:id="rId23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заявленное в уведомлении о составе и параметрах оборудования, поданного для входящей в состав Дальневосточного федерального округа отдельной территории, ранее относившейся к неценовым зонам, – до 3 часов 00 минут московского времени (10 часов 00 мину</w:t>
      </w:r>
      <w:r>
        <w:rPr>
          <w:rFonts w:ascii="Times New Roman" w:hAnsi="Times New Roman" w:cs="Times New Roman"/>
          <w:sz w:val="22"/>
          <w:szCs w:val="22"/>
        </w:rPr>
        <w:t xml:space="preserve">т хабаровского времени) суток Х-2), приращение минимальной мощности включенного блочного генерирующего оборудования, связанное с ремонтом основного или вспомогательного оборудования, рассчитанное на основании заявленного участником оптового рынка минимума;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84810" cy="221615"/>
                <wp:effectExtent l="0" t="0" r="0" b="0"/>
                <wp:docPr id="11" name="_x0000_i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5"/>
                        <a:stretch/>
                      </pic:blipFill>
                      <pic:spPr bwMode="auto">
                        <a:xfrm>
                          <a:off x="0" y="0"/>
                          <a:ext cx="384810" cy="221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" o:spid="_x0000_s10" type="#_x0000_t75" style="width:30.30pt;height:17.45pt;mso-wrap-distance-left:0.00pt;mso-wrap-distance-top:0.00pt;mso-wrap-distance-right:0.00pt;mso-wrap-distance-bottom:0.00pt;z-index:1;" stroked="f">
                <v:imagedata r:id="rId25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итоговое значение снижения максимальной мощнос</w:t>
      </w:r>
      <w:r>
        <w:rPr>
          <w:rFonts w:ascii="Times New Roman" w:hAnsi="Times New Roman" w:cs="Times New Roman"/>
          <w:sz w:val="22"/>
          <w:szCs w:val="22"/>
        </w:rPr>
        <w:t xml:space="preserve">ти ГТП генерации рассчитанное на основании заявленного участником оптового рынка значения, поданного в уведомлении о составе и параметрах оборудования для входящей в состав Дальневосточного федерального округа отдельной территории, ранее относившейся к нец</w:t>
      </w:r>
      <w:r>
        <w:rPr>
          <w:rFonts w:ascii="Times New Roman" w:hAnsi="Times New Roman" w:cs="Times New Roman"/>
          <w:sz w:val="22"/>
          <w:szCs w:val="22"/>
        </w:rPr>
        <w:t xml:space="preserve">еновым зонам, – до 3 часов 00 минут московского времени (10 часов 00 минут хабаровского времени) суток Х-2) в уведомлении о составе и параметрах оборудования, поданном в отношении суток Х+2 (уведомление ВСВГО), для часов с порядковыми номерами от 1 до 120;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31644" cy="271074"/>
                <wp:effectExtent l="0" t="0" r="0" b="0"/>
                <wp:docPr id="12" name="_x0000_i103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5339397" name=""/>
                        <pic:cNvPicPr/>
                        <pic:nvPr/>
                      </pic:nvPicPr>
                      <pic:blipFill>
                        <a:blip r:embed="rId26">
                          <a:extLst>
                            <a:ext uri="{96DAC541-7B7A-43D3-8B79-37D633B846F1}">
                              <asvg:svgBlip xmlns:asvg="http://schemas.microsoft.com/office/drawing/2016/SVG/main" r:embed="rId27"/>
                            </a:ext>
                          </a:extLst>
                        </a:blip>
                        <a:srcRect l="-277" t="-554" r="-277" b="-554"/>
                        <a:stretch/>
                      </pic:blipFill>
                      <pic:spPr bwMode="auto">
                        <a:xfrm>
                          <a:off x="0" y="0"/>
                          <a:ext cx="531643" cy="2710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1" o:spid="_x0000_s11" type="#_x0000_t75" style="width:41.86pt;height:21.34pt;mso-wrap-distance-left:0.00pt;mso-wrap-distance-top:0.00pt;mso-wrap-distance-right:0.00pt;mso-wrap-distance-bottom:0.00pt;z-index:1;" stroked="f">
                <v:imagedata r:id="rId26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снижение мощности ГТП генерации фиксируемое на основании данных, заявляемых участником ОРЭ для входящей в состав Дальневосточного федерального округа отдельной территории, ранее относивш</w:t>
      </w:r>
      <w:r>
        <w:rPr>
          <w:rFonts w:ascii="Times New Roman" w:hAnsi="Times New Roman" w:cs="Times New Roman"/>
          <w:sz w:val="22"/>
          <w:szCs w:val="22"/>
        </w:rPr>
        <w:t xml:space="preserve">ейся к неценовым зонам, – до 3 часов 00 минут московского времени (10 часов 00 минут хабаровского времени) суток Х-1) (уведомлениях РСВ) в уведомлении о составе и параметрах оборудования и разрешенных внеплановых заявках на снижение максимальной мощности;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26134" cy="262204"/>
                <wp:effectExtent l="0" t="0" r="0" b="0"/>
                <wp:docPr id="13" name="_x0000_i103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83862212" name=""/>
                        <pic:cNvPicPr/>
                        <pic:nvPr/>
                      </pic:nvPicPr>
                      <pic:blipFill>
                        <a:blip r:embed="rId28">
                          <a:extLst>
                            <a:ext uri="{96DAC541-7B7A-43D3-8B79-37D633B846F1}">
                              <asvg:svgBlip xmlns:asvg="http://schemas.microsoft.com/office/drawing/2016/SVG/main" r:embed="rId29"/>
                            </a:ext>
                          </a:extLst>
                        </a:blip>
                        <a:srcRect l="-277" t="-541" r="-277" b="-540"/>
                        <a:stretch/>
                      </pic:blipFill>
                      <pic:spPr bwMode="auto">
                        <a:xfrm>
                          <a:off x="0" y="0"/>
                          <a:ext cx="526133" cy="2622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2" o:spid="_x0000_s12" type="#_x0000_t75" style="width:41.43pt;height:20.65pt;mso-wrap-distance-left:0.00pt;mso-wrap-distance-top:0.00pt;mso-wrap-distance-right:0.00pt;mso-wrap-distance-bottom:0.00pt;z-index:1;" stroked="f">
                <v:imagedata r:id="rId28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приращение минимальной мощности включенного блочного генерирующего оборудования по разрешенной неплановой или неотложной диспетчерской заявке, определенное как увеличение технологического</w:t>
      </w:r>
      <w:r>
        <w:rPr>
          <w:rFonts w:ascii="Times New Roman" w:hAnsi="Times New Roman" w:cs="Times New Roman"/>
          <w:sz w:val="22"/>
          <w:szCs w:val="22"/>
        </w:rPr>
        <w:t xml:space="preserve"> минимума, заявленного участником оптового рынка в период для входящей в состав Дальневосточного федерального округа отдельной территории, ранее относившейся к неценовым зонам, – до 3 часов 00 минут московского времени (10 часов 00 минут хабаровского време</w:t>
      </w:r>
      <w:r>
        <w:rPr>
          <w:rFonts w:ascii="Times New Roman" w:hAnsi="Times New Roman" w:cs="Times New Roman"/>
          <w:sz w:val="22"/>
          <w:szCs w:val="22"/>
        </w:rPr>
        <w:t xml:space="preserve">ни) суток Х-1), относительно планового технологического минимума, согласованного СО в отношении включенного блочного генерирующего оборудования, заявленного участником оптового рынка в работу в уведомлении о составе и параметрах генерирующего оборудования;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19792" cy="319326"/>
                <wp:effectExtent l="0" t="0" r="0" b="0"/>
                <wp:docPr id="14" name="_x0000_i103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0393399" name=""/>
                        <pic:cNvPicPr/>
                        <pic:nvPr/>
                      </pic:nvPicPr>
                      <pic:blipFill>
                        <a:blip r:embed="rId30">
                          <a:extLst>
                            <a:ext uri="{96DAC541-7B7A-43D3-8B79-37D633B846F1}">
                              <asvg:svgBlip xmlns:asvg="http://schemas.microsoft.com/office/drawing/2016/SVG/main" r:embed="rId31"/>
                            </a:ext>
                          </a:extLst>
                        </a:blip>
                        <a:srcRect l="-277" t="-539" r="-277" b="-539"/>
                        <a:stretch/>
                      </pic:blipFill>
                      <pic:spPr bwMode="auto">
                        <a:xfrm>
                          <a:off x="0" y="0"/>
                          <a:ext cx="619791" cy="319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3" o:spid="_x0000_s13" type="#_x0000_t75" style="width:48.80pt;height:25.14pt;mso-wrap-distance-left:0.00pt;mso-wrap-distance-top:0.00pt;mso-wrap-distance-right:0.00pt;mso-wrap-distance-bottom:0.00pt;z-index:1;" stroked="f">
                <v:imagedata r:id="rId3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рынка,</w:t>
      </w:r>
      <w:r>
        <w:rPr>
          <w:rFonts w:ascii="Times New Roman" w:hAnsi="Times New Roman" w:cs="Times New Roman"/>
          <w:sz w:val="22"/>
          <w:szCs w:val="22"/>
        </w:rPr>
        <w:t xml:space="preserve"> полученных в период для входящей в состав Дальневосточного федерального округа отдельной территории, ранее относившейся к неценовым зонам, – с 3 часов 00 минут московского времени (10 часов 00 минут хабаровского времени) суток Х-1), до часа (n-4) суток Х;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26134" cy="262204"/>
                <wp:effectExtent l="0" t="0" r="0" b="0"/>
                <wp:docPr id="15" name="_x0000_i103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9199487" name=""/>
                        <pic:cNvPicPr/>
                        <pic:nvPr/>
                      </pic:nvPicPr>
                      <pic:blipFill>
                        <a:blip r:embed="rId32">
                          <a:extLst>
                            <a:ext uri="{96DAC541-7B7A-43D3-8B79-37D633B846F1}">
                              <asvg:svgBlip xmlns:asvg="http://schemas.microsoft.com/office/drawing/2016/SVG/main" r:embed="rId33"/>
                            </a:ext>
                          </a:extLst>
                        </a:blip>
                        <a:srcRect l="-277" t="-541" r="-277" b="-540"/>
                        <a:stretch/>
                      </pic:blipFill>
                      <pic:spPr bwMode="auto">
                        <a:xfrm>
                          <a:off x="0" y="0"/>
                          <a:ext cx="526133" cy="2622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4" o:spid="_x0000_s14" type="#_x0000_t75" style="width:41.43pt;height:20.65pt;mso-wrap-distance-left:0.00pt;mso-wrap-distance-top:0.00pt;mso-wrap-distance-right:0.00pt;mso-wrap-distance-bottom:0.00pt;z-index:1;" stroked="f">
                <v:imagedata r:id="rId32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рынка,</w:t>
      </w:r>
      <w:r>
        <w:rPr>
          <w:rFonts w:ascii="Times New Roman" w:hAnsi="Times New Roman" w:cs="Times New Roman"/>
          <w:sz w:val="22"/>
          <w:szCs w:val="22"/>
        </w:rPr>
        <w:t xml:space="preserve"> полученных в период для входящей в состав Дальневосточного федерального округа отдельной территории, ранее относившейся к неценовым зонам, – с 3 часов 00 минут московского времени (10 часов 00 минут хабаровского времени) суток Х-1), до часа (n-4) суток Х;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1443" cy="240793"/>
                <wp:effectExtent l="0" t="0" r="0" b="0"/>
                <wp:docPr id="16" name="_x0000_i103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96015330" name=""/>
                        <pic:cNvPicPr/>
                        <pic:nvPr/>
                      </pic:nvPicPr>
                      <pic:blipFill>
                        <a:blip r:embed="rId34">
                          <a:extLst>
                            <a:ext uri="{96DAC541-7B7A-43D3-8B79-37D633B846F1}">
                              <asvg:svgBlip xmlns:asvg="http://schemas.microsoft.com/office/drawing/2016/SVG/main" r:embed="rId35"/>
                            </a:ext>
                          </a:extLst>
                        </a:blip>
                        <a:srcRect l="-277" t="-623" r="-277" b="-623"/>
                        <a:stretch/>
                      </pic:blipFill>
                      <pic:spPr bwMode="auto">
                        <a:xfrm>
                          <a:off x="0" y="0"/>
                          <a:ext cx="511443" cy="2407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5" o:spid="_x0000_s15" type="#_x0000_t75" style="width:40.27pt;height:18.96pt;mso-wrap-distance-left:0.00pt;mso-wrap-distance-top:0.00pt;mso-wrap-distance-right:0.00pt;mso-wrap-distance-bottom:0.00pt;z-index:1;" stroked="f">
                <v:imagedata r:id="rId34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снижение м</w:t>
      </w:r>
      <w:r>
        <w:rPr>
          <w:rFonts w:ascii="Times New Roman" w:hAnsi="Times New Roman" w:cs="Times New Roman"/>
          <w:sz w:val="22"/>
          <w:szCs w:val="22"/>
        </w:rPr>
        <w:t xml:space="preserve">аксимальной мощности, не связанное с отключением генерирующего оборудования, в соответствии с неотложной (аварийной) заявкой или оперативным уведомлением, поданным участником оптового рынка позже, чем за 4 (четырех) часа часов до часа фактической поставки;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96752" cy="240088"/>
                <wp:effectExtent l="0" t="0" r="0" b="0"/>
                <wp:docPr id="17" name="_x0000_i104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8720203" name=""/>
                        <pic:cNvPicPr/>
                        <pic:nvPr/>
                      </pic:nvPicPr>
                      <pic:blipFill>
                        <a:blip r:embed="rId36">
                          <a:extLst>
                            <a:ext uri="{96DAC541-7B7A-43D3-8B79-37D633B846F1}">
                              <asvg:svgBlip xmlns:asvg="http://schemas.microsoft.com/office/drawing/2016/SVG/main" r:embed="rId37"/>
                            </a:ext>
                          </a:extLst>
                        </a:blip>
                        <a:srcRect l="-277" t="-609" r="-277" b="-608"/>
                        <a:stretch/>
                      </pic:blipFill>
                      <pic:spPr bwMode="auto">
                        <a:xfrm>
                          <a:off x="0" y="0"/>
                          <a:ext cx="496751" cy="240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6" o:spid="_x0000_s16" type="#_x0000_t75" style="width:39.11pt;height:18.90pt;mso-wrap-distance-left:0.00pt;mso-wrap-distance-top:0.00pt;mso-wrap-distance-right:0.00pt;mso-wrap-distance-bottom:0.00pt;z-index:1;" stroked="f">
                <v:imagedata r:id="rId36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регистрируется при увеличении минимальной мощности включенного оборудования, заявленном участником оптового рынка позже 4 (четырех) часов до часа фактической поставки, либо при фактическом увеличении минимальной мощности включенного оборудования;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13619" cy="284545"/>
                <wp:effectExtent l="0" t="0" r="0" b="0"/>
                <wp:docPr id="18" name="_x0000_i104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97285954" name=""/>
                        <pic:cNvPicPr/>
                        <pic:nvPr/>
                      </pic:nvPicPr>
                      <pic:blipFill>
                        <a:blip r:embed="rId38">
                          <a:extLst>
                            <a:ext uri="{96DAC541-7B7A-43D3-8B79-37D633B846F1}">
                              <asvg:svgBlip xmlns:asvg="http://schemas.microsoft.com/office/drawing/2016/SVG/main" r:embed="rId39"/>
                            </a:ext>
                          </a:extLst>
                        </a:blip>
                        <a:srcRect l="-277" t="-901" r="-277" b="-900"/>
                        <a:stretch/>
                      </pic:blipFill>
                      <pic:spPr bwMode="auto">
                        <a:xfrm>
                          <a:off x="0" y="0"/>
                          <a:ext cx="913618" cy="284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7" o:spid="_x0000_s17" type="#_x0000_t75" style="width:71.94pt;height:22.41pt;mso-wrap-distance-left:0.00pt;mso-wrap-distance-top:0.00pt;mso-wrap-distance-right:0.00pt;mso-wrap-distance-bottom:0.00pt;z-index:1;" stroked="f">
                <v:imagedata r:id="rId38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снижении мощности вследствие вывода в ремонт оборудования по неотложной (аварийной) диспетчерской заявке или оперативному уведомлению, поданному у</w:t>
      </w:r>
      <w:r>
        <w:rPr>
          <w:rFonts w:ascii="Times New Roman" w:hAnsi="Times New Roman" w:cs="Times New Roman"/>
          <w:sz w:val="22"/>
          <w:szCs w:val="22"/>
        </w:rPr>
        <w:t xml:space="preserve">частником оптового рынка позже 4 (четырех) часов до часа фактической поставки (между часом фактического отключения оборудования и часом регистрации заявки участника оптового рынка менее 4 (четырех), вне зависимости от выходных и нерабочих праздничных дней;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51350" cy="355570"/>
                <wp:effectExtent l="0" t="0" r="0" b="0"/>
                <wp:docPr id="19" name="_x0000_i104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38831994" name=""/>
                        <pic:cNvPicPr/>
                        <pic:nvPr/>
                      </pic:nvPicPr>
                      <pic:blipFill>
                        <a:blip r:embed="rId40">
                          <a:extLst>
                            <a:ext uri="{96DAC541-7B7A-43D3-8B79-37D633B846F1}">
                              <asvg:svgBlip xmlns:asvg="http://schemas.microsoft.com/office/drawing/2016/SVG/main" r:embed="rId41"/>
                            </a:ext>
                          </a:extLst>
                        </a:blip>
                        <a:srcRect l="-277" t="-844" r="-277" b="-843"/>
                        <a:stretch/>
                      </pic:blipFill>
                      <pic:spPr bwMode="auto">
                        <a:xfrm>
                          <a:off x="0" y="0"/>
                          <a:ext cx="1051349" cy="3555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8" o:spid="_x0000_s18" type="#_x0000_t75" style="width:82.78pt;height:28.00pt;mso-wrap-distance-left:0.00pt;mso-wrap-distance-top:0.00pt;mso-wrap-distance-right:0.00pt;mso-wrap-distance-bottom:0.00pt;z-index:1;" stroked="f">
                <v:imagedata r:id="rId4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регистрируется при согласованном увеличении времени включения в сеть;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56775" cy="311803"/>
                <wp:effectExtent l="0" t="0" r="0" b="0"/>
                <wp:docPr id="20" name="_x0000_i104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98670092" name=""/>
                        <pic:cNvPicPr/>
                        <pic:nvPr/>
                      </pic:nvPicPr>
                      <pic:blipFill>
                        <a:blip r:embed="rId42">
                          <a:extLst>
                            <a:ext uri="{96DAC541-7B7A-43D3-8B79-37D633B846F1}">
                              <asvg:svgBlip xmlns:asvg="http://schemas.microsoft.com/office/drawing/2016/SVG/main" r:embed="rId43"/>
                            </a:ext>
                          </a:extLst>
                        </a:blip>
                        <a:srcRect l="-277" t="-820" r="-277" b="-819"/>
                        <a:stretch/>
                      </pic:blipFill>
                      <pic:spPr bwMode="auto">
                        <a:xfrm>
                          <a:off x="0" y="0"/>
                          <a:ext cx="956774" cy="311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9" o:spid="_x0000_s19" type="#_x0000_t75" style="width:75.34pt;height:24.55pt;mso-wrap-distance-left:0.00pt;mso-wrap-distance-top:0.00pt;mso-wrap-distance-right:0.00pt;mso-wrap-distance-bottom:0.00pt;z-index:1;" stroked="f">
                <v:imagedata r:id="rId42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регистрируется при фактическом включении в сеть генерирующего оборудования со временем, превышающим время нормативного включения в сеть;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67284" cy="284710"/>
                <wp:effectExtent l="0" t="0" r="0" b="0"/>
                <wp:docPr id="21" name="_x0000_i104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38110115" name=""/>
                        <pic:cNvPicPr/>
                        <pic:nvPr/>
                      </pic:nvPicPr>
                      <pic:blipFill>
                        <a:blip r:embed="rId44">
                          <a:extLst>
                            <a:ext uri="{96DAC541-7B7A-43D3-8B79-37D633B846F1}">
                              <asvg:svgBlip xmlns:asvg="http://schemas.microsoft.com/office/drawing/2016/SVG/main" r:embed="rId45"/>
                            </a:ext>
                          </a:extLst>
                        </a:blip>
                        <a:srcRect l="-277" t="-391" r="-277" b="-391"/>
                        <a:stretch/>
                      </pic:blipFill>
                      <pic:spPr bwMode="auto">
                        <a:xfrm>
                          <a:off x="0" y="0"/>
                          <a:ext cx="367283" cy="2847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0" o:spid="_x0000_s20" type="#_x0000_t75" style="width:28.92pt;height:22.42pt;mso-wrap-distance-left:0.00pt;mso-wrap-distance-top:0.00pt;mso-wrap-distance-right:0.00pt;mso-wrap-distance-bottom:0.00pt;z-index:1;" stroked="f">
                <v:imagedata r:id="rId44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67"/>
        <w:pBdr/>
        <w:spacing w:after="20" w:before="1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 xml:space="preserve">Согласно п. 3.4.15 Регламента определения объемов фактически поставленной на оптовый рынок мощности (приложение 13 к Договору о присоединении к торговой системе оптового рынка) значения мощности </w:t>
      </w: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34228" cy="263149"/>
                <wp:effectExtent l="0" t="0" r="0" b="0"/>
                <wp:docPr id="22" name="_x0000_i104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8235145" name=""/>
                        <pic:cNvPicPr/>
                        <pic:nvPr/>
                      </pic:nvPicPr>
                      <pic:blipFill>
                        <a:blip r:embed="rId46">
                          <a:extLst>
                            <a:ext uri="{96DAC541-7B7A-43D3-8B79-37D633B846F1}">
                              <asvg:svgBlip xmlns:asvg="http://schemas.microsoft.com/office/drawing/2016/SVG/main" r:embed="rId47"/>
                            </a:ext>
                          </a:extLst>
                        </a:blip>
                        <a:srcRect l="-277" t="-359" r="-277" b="-358"/>
                        <a:stretch/>
                      </pic:blipFill>
                      <pic:spPr bwMode="auto">
                        <a:xfrm>
                          <a:off x="0" y="0"/>
                          <a:ext cx="334227" cy="2631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1" o:spid="_x0000_s21" type="#_x0000_t75" style="width:26.32pt;height:20.72pt;mso-wrap-distance-left:0.00pt;mso-wrap-distance-top:0.00pt;mso-wrap-distance-right:0.00pt;mso-wrap-distance-bottom:0.00pt;z-index:1;" stroked="f">
                <v:imagedata r:id="rId46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, соответствующие объемам невыполнения требований в месяце, определяется по формуле: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374851" cy="672301"/>
                <wp:effectExtent l="0" t="0" r="0" b="0"/>
                <wp:docPr id="23" name="_x0000_i104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99051316" name=""/>
                        <pic:cNvPicPr/>
                        <pic:nvPr/>
                      </pic:nvPicPr>
                      <pic:blipFill>
                        <a:blip r:embed="rId48">
                          <a:extLst>
                            <a:ext uri="{96DAC541-7B7A-43D3-8B79-37D633B846F1}">
                              <asvg:svgBlip xmlns:asvg="http://schemas.microsoft.com/office/drawing/2016/SVG/main" r:embed="rId49"/>
                            </a:ext>
                          </a:extLst>
                        </a:blip>
                        <a:srcRect l="-252" t="-512" r="-251" b="-512"/>
                        <a:stretch/>
                      </pic:blipFill>
                      <pic:spPr bwMode="auto">
                        <a:xfrm>
                          <a:off x="0" y="0"/>
                          <a:ext cx="1374850" cy="67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2" o:spid="_x0000_s22" type="#_x0000_t75" style="width:108.26pt;height:52.94pt;mso-wrap-distance-left:0.00pt;mso-wrap-distance-top:0.00pt;mso-wrap-distance-right:0.00pt;mso-wrap-distance-bottom:0.00pt;z-index:1;" stroked="f">
                <v:imagedata r:id="rId48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 xml:space="preserve">где: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90154" cy="262016"/>
                <wp:effectExtent l="0" t="0" r="0" b="0"/>
                <wp:docPr id="24" name="_x0000_i104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7334134" name=""/>
                        <pic:cNvPicPr/>
                        <pic:nvPr/>
                      </pic:nvPicPr>
                      <pic:blipFill>
                        <a:blip r:embed="rId50">
                          <a:extLst>
                            <a:ext uri="{96DAC541-7B7A-43D3-8B79-37D633B846F1}">
                              <asvg:svgBlip xmlns:asvg="http://schemas.microsoft.com/office/drawing/2016/SVG/main" r:embed="rId51"/>
                            </a:ext>
                          </a:extLst>
                        </a:blip>
                        <a:srcRect l="-277" t="-318" r="-277" b="-316"/>
                        <a:stretch/>
                      </pic:blipFill>
                      <pic:spPr bwMode="auto">
                        <a:xfrm>
                          <a:off x="0" y="0"/>
                          <a:ext cx="290153" cy="262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3" o:spid="_x0000_s23" type="#_x0000_t75" style="width:22.85pt;height:20.63pt;mso-wrap-distance-left:0.00pt;mso-wrap-distance-top:0.00pt;mso-wrap-distance-right:0.00pt;mso-wrap-distance-bottom:0.00pt;z-index:1;" stroked="f">
                <v:imagedata r:id="rId5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значения снижения мощности ГТПГ, определенные Системным оператором в ГРМ;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 – количество часов, соответствующее расчетному месяцу m.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соответствии с Приложением 1 к «Регламенту определения объемов фактическ</w:t>
      </w:r>
      <w:r>
        <w:rPr>
          <w:rFonts w:ascii="Times New Roman" w:hAnsi="Times New Roman" w:cs="Times New Roman"/>
          <w:sz w:val="22"/>
          <w:szCs w:val="22"/>
        </w:rPr>
        <w:t xml:space="preserve">и поставленной на оптовый рынок мощности» (приложение 13 к Договору о присоединении к торговой системе оптового рынка) округление объема невыполнения требований в месяц в МВт (среднемесячного снижения) производится с точностью до трех знаков после запятой.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67"/>
        <w:pBdr/>
        <w:spacing w:after="20" w:before="120" w:line="276" w:lineRule="auto"/>
        <w:ind w:right="0"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Согласно п. 5.4.2. Регламента определения объемов фактически поставленной на оптовый рынок мощности (приложение 13 к Договору о при</w:t>
      </w:r>
      <w:r>
        <w:rPr>
          <w:rFonts w:ascii="Times New Roman" w:hAnsi="Times New Roman" w:cs="Times New Roman"/>
          <w:sz w:val="22"/>
          <w:szCs w:val="22"/>
        </w:rPr>
        <w:t xml:space="preserve">соединении к торговой системе оптового рынка) - объем недопоставки мощности, определяемый способностью к выработке электроэнергии генерирующего оборудования участника ОРЭ в расчетном месяц m, рассчитывается для каждой ГТП (единицы оборудования) по формуле: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67"/>
        <w:pBdr/>
        <w:spacing w:after="20" w:before="20" w:line="276" w:lineRule="auto"/>
        <w:ind w:right="0" w:firstLine="709" w:left="0"/>
        <w:jc w:val="center"/>
        <w:rPr>
          <w:rFonts w:ascii="Times New Roman" w:hAnsi="Times New Roman" w:eastAsia="Arial" w:cs="Times New Roman"/>
          <w:sz w:val="22"/>
          <w:szCs w:val="22"/>
        </w:rPr>
      </w:pP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647315" cy="351790"/>
                <wp:effectExtent l="0" t="0" r="0" b="0"/>
                <wp:docPr id="25" name="_x0000_i2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52"/>
                        <a:stretch/>
                      </pic:blipFill>
                      <pic:spPr bwMode="auto">
                        <a:xfrm>
                          <a:off x="0" y="0"/>
                          <a:ext cx="2647315" cy="351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4" o:spid="_x0000_s24" type="#_x0000_t75" style="width:208.45pt;height:27.70pt;mso-wrap-distance-left:0.00pt;mso-wrap-distance-top:0.00pt;mso-wrap-distance-right:0.00pt;mso-wrap-distance-bottom:0.00pt;z-index:1;" stroked="f">
                <v:imagedata r:id="rId52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</w:r>
      <w:r>
        <w:rPr>
          <w:rFonts w:ascii="Times New Roman" w:hAnsi="Times New Roman" w:eastAsia="Arial" w:cs="Times New Roman"/>
          <w:sz w:val="22"/>
          <w:szCs w:val="22"/>
        </w:rPr>
      </w:r>
    </w:p>
    <w:p>
      <w:pPr>
        <w:pStyle w:val="767"/>
        <w:pBdr/>
        <w:spacing w:after="200" w:before="0" w:line="276" w:lineRule="auto"/>
        <w:ind w:right="0" w:firstLine="709" w:left="0"/>
        <w:rPr>
          <w:sz w:val="20"/>
          <w:szCs w:val="20"/>
        </w:rPr>
      </w:pPr>
      <w:r>
        <w:rPr>
          <w:rFonts w:ascii="Times New Roman" w:hAnsi="Times New Roman" w:eastAsia="Arial" w:cs="Times New Roman"/>
          <w:sz w:val="22"/>
          <w:szCs w:val="22"/>
        </w:rPr>
        <w:t xml:space="preserve">где:</w:t>
        <w:tab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numPr>
          <w:ilvl w:val="0"/>
          <w:numId w:val="0"/>
        </w:numPr>
        <w:pBdr/>
        <w:spacing w:after="120" w:before="120" w:line="276" w:lineRule="auto"/>
        <w:ind w:right="0" w:firstLine="0" w:left="0"/>
        <w:jc w:val="both"/>
        <w:outlineLvl w:val="3"/>
        <w:rPr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84473" cy="227716"/>
                <wp:effectExtent l="0" t="0" r="0" b="0"/>
                <wp:docPr id="26" name="_x0000_i104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9154816" name=""/>
                        <pic:cNvPicPr/>
                        <pic:nvPr/>
                      </pic:nvPicPr>
                      <pic:blipFill>
                        <a:blip r:embed="rId53">
                          <a:extLst>
                            <a:ext uri="{96DAC541-7B7A-43D3-8B79-37D633B846F1}">
                              <asvg:svgBlip xmlns:asvg="http://schemas.microsoft.com/office/drawing/2016/SVG/main" r:embed="rId54"/>
                            </a:ext>
                          </a:extLst>
                        </a:blip>
                        <a:srcRect l="-356" t="-277" r="-355" b="-277"/>
                        <a:stretch/>
                      </pic:blipFill>
                      <pic:spPr bwMode="auto">
                        <a:xfrm>
                          <a:off x="0" y="0"/>
                          <a:ext cx="184473" cy="227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5" o:spid="_x0000_s25" type="#_x0000_t75" style="width:14.53pt;height:17.93pt;mso-wrap-distance-left:0.00pt;mso-wrap-distance-top:0.00pt;mso-wrap-distance-right:0.00pt;mso-wrap-distance-bottom:0.00pt;z-index:1;" stroked="f">
                <v:imagedata r:id="rId53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Arial" w:cs="Times New Roman"/>
          <w:sz w:val="22"/>
          <w:szCs w:val="22"/>
        </w:rPr>
        <w:t xml:space="preserve">―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Arial" w:cs="Times New Roman"/>
          <w:sz w:val="22"/>
          <w:szCs w:val="22"/>
        </w:rPr>
        <w:t xml:space="preserve">коэффициенты </w:t>
      </w:r>
      <w:r>
        <w:rPr>
          <w:rFonts w:ascii="Times New Roman" w:hAnsi="Times New Roman" w:cs="Times New Roman"/>
          <w:sz w:val="22"/>
          <w:szCs w:val="22"/>
        </w:rPr>
        <w:t xml:space="preserve">(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46380" cy="203200"/>
                <wp:effectExtent l="0" t="0" r="0" b="0"/>
                <wp:docPr id="27" name="_x0000_i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55"/>
                        <a:stretch/>
                      </pic:blipFill>
                      <pic:spPr bwMode="auto">
                        <a:xfrm>
                          <a:off x="0" y="0"/>
                          <a:ext cx="246379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6" o:spid="_x0000_s26" type="#_x0000_t75" style="width:19.40pt;height:16.00pt;mso-wrap-distance-left:0.00pt;mso-wrap-distance-top:0.00pt;mso-wrap-distance-right:0.00pt;mso-wrap-distance-bottom:0.00pt;z-index:1;" stroked="f">
                <v:imagedata r:id="rId55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47015" cy="203200"/>
                <wp:effectExtent l="0" t="0" r="0" b="0"/>
                <wp:docPr id="28" name="_x0000_i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56"/>
                        <a:stretch/>
                      </pic:blipFill>
                      <pic:spPr bwMode="auto">
                        <a:xfrm>
                          <a:off x="0" y="0"/>
                          <a:ext cx="24701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7" o:spid="_x0000_s27" type="#_x0000_t75" style="width:19.45pt;height:16.00pt;mso-wrap-distance-left:0.00pt;mso-wrap-distance-top:0.00pt;mso-wrap-distance-right:0.00pt;mso-wrap-distance-bottom:0.00pt;z-index:1;" stroked="f">
                <v:imagedata r:id="rId56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43840" cy="203200"/>
                <wp:effectExtent l="0" t="0" r="0" b="0"/>
                <wp:docPr id="29" name="_x0000_i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57"/>
                        <a:stretch/>
                      </pic:blipFill>
                      <pic:spPr bwMode="auto">
                        <a:xfrm>
                          <a:off x="0" y="0"/>
                          <a:ext cx="24384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8" o:spid="_x0000_s28" type="#_x0000_t75" style="width:19.20pt;height:16.00pt;mso-wrap-distance-left:0.00pt;mso-wrap-distance-top:0.00pt;mso-wrap-distance-right:0.00pt;mso-wrap-distance-bottom:0.00pt;z-index:1;" stroked="f">
                <v:imagedata r:id="rId57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44475" cy="203200"/>
                <wp:effectExtent l="0" t="0" r="0" b="0"/>
                <wp:docPr id="30" name="_x0000_i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58"/>
                        <a:stretch/>
                      </pic:blipFill>
                      <pic:spPr bwMode="auto">
                        <a:xfrm>
                          <a:off x="0" y="0"/>
                          <a:ext cx="24447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9" o:spid="_x0000_s29" type="#_x0000_t75" style="width:19.25pt;height:16.00pt;mso-wrap-distance-left:0.00pt;mso-wrap-distance-top:0.00pt;mso-wrap-distance-right:0.00pt;mso-wrap-distance-bottom:0.00pt;z-index:1;" stroked="f">
                <v:imagedata r:id="rId58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67"/>
        <w:numPr>
          <w:ilvl w:val="0"/>
          <w:numId w:val="0"/>
        </w:numPr>
        <w:pBdr/>
        <w:spacing w:after="120" w:before="120" w:line="276" w:lineRule="auto"/>
        <w:ind w:right="0" w:firstLine="0" w:left="0"/>
        <w:jc w:val="both"/>
        <w:outlineLvl w:val="3"/>
        <w:rPr>
          <w:rFonts w:ascii="Times New Roman" w:hAnsi="Times New Roman" w:eastAsia="Arial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83410" cy="275463"/>
                <wp:effectExtent l="0" t="0" r="0" b="0"/>
                <wp:docPr id="31" name="_x0000_i105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2510425" name=""/>
                        <pic:cNvPicPr/>
                        <pic:nvPr/>
                      </pic:nvPicPr>
                      <pic:blipFill>
                        <a:blip r:embed="rId59">
                          <a:extLst>
                            <a:ext uri="{96DAC541-7B7A-43D3-8B79-37D633B846F1}">
                              <asvg:svgBlip xmlns:asvg="http://schemas.microsoft.com/office/drawing/2016/SVG/main" r:embed="rId60"/>
                            </a:ext>
                          </a:extLst>
                        </a:blip>
                        <a:srcRect l="-416" t="-277" r="-415" b="-277"/>
                        <a:stretch/>
                      </pic:blipFill>
                      <pic:spPr bwMode="auto">
                        <a:xfrm>
                          <a:off x="0" y="0"/>
                          <a:ext cx="183409" cy="2754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0" o:spid="_x0000_s30" type="#_x0000_t75" style="width:14.44pt;height:21.69pt;mso-wrap-distance-left:0.00pt;mso-wrap-distance-top:0.00pt;mso-wrap-distance-right:0.00pt;mso-wrap-distance-bottom:0.00pt;z-index:1;" stroked="f">
                <v:imagedata r:id="rId5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Arial" w:cs="Times New Roman"/>
          <w:sz w:val="22"/>
          <w:szCs w:val="22"/>
        </w:rPr>
        <w:t xml:space="preserve">―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Arial" w:cs="Times New Roman"/>
          <w:sz w:val="22"/>
          <w:szCs w:val="22"/>
        </w:rPr>
        <w:t xml:space="preserve">коэффициенты (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45745" cy="203200"/>
                <wp:effectExtent l="0" t="0" r="0" b="0"/>
                <wp:docPr id="32" name="_x0000_i3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1"/>
                        <a:stretch/>
                      </pic:blipFill>
                      <pic:spPr bwMode="auto">
                        <a:xfrm>
                          <a:off x="0" y="0"/>
                          <a:ext cx="24574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1" o:spid="_x0000_s31" type="#_x0000_t75" style="width:19.35pt;height:16.00pt;mso-wrap-distance-left:0.00pt;mso-wrap-distance-top:0.00pt;mso-wrap-distance-right:0.00pt;mso-wrap-distance-bottom:0.00pt;z-index:1;" stroked="f">
                <v:imagedata r:id="rId61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50825" cy="203200"/>
                <wp:effectExtent l="0" t="0" r="0" b="0"/>
                <wp:docPr id="33" name="_x0000_i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2"/>
                        <a:stretch/>
                      </pic:blipFill>
                      <pic:spPr bwMode="auto">
                        <a:xfrm>
                          <a:off x="0" y="0"/>
                          <a:ext cx="25082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2" o:spid="_x0000_s32" type="#_x0000_t75" style="width:19.75pt;height:16.00pt;mso-wrap-distance-left:0.00pt;mso-wrap-distance-top:0.00pt;mso-wrap-distance-right:0.00pt;mso-wrap-distance-bottom:0.00pt;z-index:1;" stroked="f">
                <v:imagedata r:id="rId62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40995" cy="203200"/>
                <wp:effectExtent l="0" t="0" r="0" b="0"/>
                <wp:docPr id="34" name="_x0000_i3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3"/>
                        <a:stretch/>
                      </pic:blipFill>
                      <pic:spPr bwMode="auto">
                        <a:xfrm>
                          <a:off x="0" y="0"/>
                          <a:ext cx="34099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3" o:spid="_x0000_s33" type="#_x0000_t75" style="width:26.85pt;height:16.00pt;mso-wrap-distance-left:0.00pt;mso-wrap-distance-top:0.00pt;mso-wrap-distance-right:0.00pt;mso-wrap-distance-bottom:0.00pt;z-index:1;" stroked="f">
                <v:imagedata r:id="rId63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41630" cy="203200"/>
                <wp:effectExtent l="0" t="0" r="0" b="0"/>
                <wp:docPr id="35" name="_x0000_i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4"/>
                        <a:stretch/>
                      </pic:blipFill>
                      <pic:spPr bwMode="auto">
                        <a:xfrm>
                          <a:off x="0" y="0"/>
                          <a:ext cx="34163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4" o:spid="_x0000_s34" type="#_x0000_t75" style="width:26.90pt;height:16.00pt;mso-wrap-distance-left:0.00pt;mso-wrap-distance-top:0.00pt;mso-wrap-distance-right:0.00pt;mso-wrap-distance-bottom:0.00pt;z-index:1;" stroked="f">
                <v:imagedata r:id="rId64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42900" cy="203200"/>
                <wp:effectExtent l="0" t="0" r="0" b="0"/>
                <wp:docPr id="36" name="_x0000_i3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5"/>
                        <a:stretch/>
                      </pic:blipFill>
                      <pic:spPr bwMode="auto">
                        <a:xfrm>
                          <a:off x="0" y="0"/>
                          <a:ext cx="3429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5" o:spid="_x0000_s35" type="#_x0000_t75" style="width:27.00pt;height:16.00pt;mso-wrap-distance-left:0.00pt;mso-wrap-distance-top:0.00pt;mso-wrap-distance-right:0.00pt;mso-wrap-distance-bottom:0.00pt;z-index:1;" stroked="f">
                <v:imagedata r:id="rId65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45110" cy="203200"/>
                <wp:effectExtent l="0" t="0" r="0" b="0"/>
                <wp:docPr id="37" name="_x0000_i3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6"/>
                        <a:stretch/>
                      </pic:blipFill>
                      <pic:spPr bwMode="auto">
                        <a:xfrm>
                          <a:off x="0" y="0"/>
                          <a:ext cx="24511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6" o:spid="_x0000_s36" type="#_x0000_t75" style="width:19.30pt;height:16.00pt;mso-wrap-distance-left:0.00pt;mso-wrap-distance-top:0.00pt;mso-wrap-distance-right:0.00pt;mso-wrap-distance-bottom:0.00pt;z-index:1;" stroked="f">
                <v:imagedata r:id="rId66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49225" cy="203200"/>
                <wp:effectExtent l="0" t="0" r="0" b="0"/>
                <wp:docPr id="38" name="_x0000_i3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7"/>
                        <a:stretch/>
                      </pic:blipFill>
                      <pic:spPr bwMode="auto">
                        <a:xfrm>
                          <a:off x="0" y="0"/>
                          <a:ext cx="14922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7" o:spid="_x0000_s37" type="#_x0000_t75" style="width:11.75pt;height:16.00pt;mso-wrap-distance-left:0.00pt;mso-wrap-distance-top:0.00pt;mso-wrap-distance-right:0.00pt;mso-wrap-distance-bottom:0.00pt;z-index:1;" stroked="f">
                <v:imagedata r:id="rId67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54305" cy="203200"/>
                <wp:effectExtent l="0" t="0" r="0" b="0"/>
                <wp:docPr id="39" name="_x0000_i3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8"/>
                        <a:stretch/>
                      </pic:blipFill>
                      <pic:spPr bwMode="auto">
                        <a:xfrm>
                          <a:off x="0" y="0"/>
                          <a:ext cx="15430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8" o:spid="_x0000_s38" type="#_x0000_t75" style="width:12.15pt;height:16.00pt;mso-wrap-distance-left:0.00pt;mso-wrap-distance-top:0.00pt;mso-wrap-distance-right:0.00pt;mso-wrap-distance-bottom:0.00pt;z-index:1;" stroked="f">
                <v:imagedata r:id="rId68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48590" cy="203200"/>
                <wp:effectExtent l="0" t="0" r="0" b="0"/>
                <wp:docPr id="40" name="_x0000_i3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69"/>
                        <a:stretch/>
                      </pic:blipFill>
                      <pic:spPr bwMode="auto">
                        <a:xfrm>
                          <a:off x="0" y="0"/>
                          <a:ext cx="14859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9" o:spid="_x0000_s39" type="#_x0000_t75" style="width:11.70pt;height:16.00pt;mso-wrap-distance-left:0.00pt;mso-wrap-distance-top:0.00pt;mso-wrap-distance-right:0.00pt;mso-wrap-distance-bottom:0.00pt;z-index:1;" stroked="f">
                <v:imagedata r:id="rId6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50495" cy="203200"/>
                <wp:effectExtent l="0" t="0" r="0" b="0"/>
                <wp:docPr id="41" name="_x0000_i4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70"/>
                        <a:stretch/>
                      </pic:blipFill>
                      <pic:spPr bwMode="auto">
                        <a:xfrm>
                          <a:off x="0" y="0"/>
                          <a:ext cx="15049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0" o:spid="_x0000_s40" type="#_x0000_t75" style="width:11.85pt;height:16.00pt;mso-wrap-distance-left:0.00pt;mso-wrap-distance-top:0.00pt;mso-wrap-distance-right:0.00pt;mso-wrap-distance-bottom:0.00pt;z-index:1;" stroked="f">
                <v:imagedata r:id="rId7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49860" cy="203200"/>
                <wp:effectExtent l="0" t="0" r="0" b="0"/>
                <wp:docPr id="42" name="_x0000_i4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71"/>
                        <a:stretch/>
                      </pic:blipFill>
                      <pic:spPr bwMode="auto">
                        <a:xfrm>
                          <a:off x="0" y="0"/>
                          <a:ext cx="14986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1" o:spid="_x0000_s41" type="#_x0000_t75" style="width:11.80pt;height:16.00pt;mso-wrap-distance-left:0.00pt;mso-wrap-distance-top:0.00pt;mso-wrap-distance-right:0.00pt;mso-wrap-distance-bottom:0.00pt;z-index:1;" stroked="f">
                <v:imagedata r:id="rId71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46380" cy="203200"/>
                <wp:effectExtent l="0" t="0" r="0" b="0"/>
                <wp:docPr id="43" name="_x0000_i4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72"/>
                        <a:stretch/>
                      </pic:blipFill>
                      <pic:spPr bwMode="auto">
                        <a:xfrm>
                          <a:off x="0" y="0"/>
                          <a:ext cx="246379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2" o:spid="_x0000_s42" type="#_x0000_t75" style="width:19.40pt;height:16.00pt;mso-wrap-distance-left:0.00pt;mso-wrap-distance-top:0.00pt;mso-wrap-distance-right:0.00pt;mso-wrap-distance-bottom:0.00pt;z-index:1;" stroked="f">
                <v:imagedata r:id="rId72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47015" cy="203200"/>
                <wp:effectExtent l="0" t="0" r="0" b="0"/>
                <wp:docPr id="44" name="_x0000_i4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73"/>
                        <a:stretch/>
                      </pic:blipFill>
                      <pic:spPr bwMode="auto">
                        <a:xfrm>
                          <a:off x="0" y="0"/>
                          <a:ext cx="24701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3" o:spid="_x0000_s43" type="#_x0000_t75" style="width:19.45pt;height:16.00pt;mso-wrap-distance-left:0.00pt;mso-wrap-distance-top:0.00pt;mso-wrap-distance-right:0.00pt;mso-wrap-distance-bottom:0.00pt;z-index:1;" stroked="f">
                <v:imagedata r:id="rId73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,</w:t>
      </w: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50495" cy="203200"/>
                <wp:effectExtent l="0" t="0" r="0" b="0"/>
                <wp:docPr id="45" name="_x0000_i4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74"/>
                        <a:stretch/>
                      </pic:blipFill>
                      <pic:spPr bwMode="auto">
                        <a:xfrm>
                          <a:off x="0" y="0"/>
                          <a:ext cx="15049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4" o:spid="_x0000_s44" type="#_x0000_t75" style="width:11.85pt;height:16.00pt;mso-wrap-distance-left:0.00pt;mso-wrap-distance-top:0.00pt;mso-wrap-distance-right:0.00pt;mso-wrap-distance-bottom:0.00pt;z-index:1;" stroked="f">
                <v:imagedata r:id="rId74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), </w:t>
      </w:r>
      <w:r>
        <w:rPr>
          <w:rFonts w:ascii="Times New Roman" w:hAnsi="Times New Roman" w:eastAsia="Arial" w:cs="Times New Roman"/>
          <w:sz w:val="22"/>
          <w:szCs w:val="22"/>
        </w:rPr>
      </w:r>
      <w:r>
        <w:rPr>
          <w:rFonts w:ascii="Times New Roman" w:hAnsi="Times New Roman" w:eastAsia="Arial" w:cs="Times New Roman"/>
          <w:sz w:val="22"/>
          <w:szCs w:val="22"/>
        </w:rPr>
      </w:r>
    </w:p>
    <w:p>
      <w:pPr>
        <w:pStyle w:val="767"/>
        <w:numPr>
          <w:ilvl w:val="0"/>
          <w:numId w:val="0"/>
        </w:numPr>
        <w:pBdr/>
        <w:spacing w:after="120" w:before="120" w:line="276" w:lineRule="auto"/>
        <w:ind w:right="0" w:firstLine="0" w:left="0"/>
        <w:jc w:val="both"/>
        <w:outlineLvl w:val="3"/>
        <w:rPr>
          <w:rFonts w:ascii="Times New Roman" w:hAnsi="Times New Roman" w:eastAsia="Arial" w:cs="Times New Roman"/>
          <w:sz w:val="22"/>
          <w:szCs w:val="22"/>
        </w:rPr>
      </w:pPr>
      <w:r>
        <w:rPr>
          <w:rFonts w:ascii="Times New Roman" w:hAnsi="Times New Roman" w:eastAsia="Arial" w:cs="Times New Roman"/>
          <w:sz w:val="22"/>
          <w:szCs w:val="22"/>
        </w:rPr>
        <w:t xml:space="preserve">определяемые для каждого из соответствующих им объемов невыполнения требований по готовности </w:t>
      </w: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75463" cy="276225"/>
                <wp:effectExtent l="0" t="0" r="0" b="0"/>
                <wp:docPr id="46" name="_x0000_i106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21859754" name=""/>
                        <pic:cNvPicPr/>
                        <pic:nvPr/>
                      </pic:nvPicPr>
                      <pic:blipFill>
                        <a:blip r:embed="rId75">
                          <a:extLst>
                            <a:ext uri="{96DAC541-7B7A-43D3-8B79-37D633B846F1}">
                              <asvg:svgBlip xmlns:asvg="http://schemas.microsoft.com/office/drawing/2016/SVG/main" r:embed="rId76"/>
                            </a:ext>
                          </a:extLst>
                        </a:blip>
                        <a:srcRect l="-277" t="-319" r="-277" b="-319"/>
                        <a:stretch/>
                      </pic:blipFill>
                      <pic:spPr bwMode="auto">
                        <a:xfrm>
                          <a:off x="0" y="0"/>
                          <a:ext cx="275463" cy="2762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5" o:spid="_x0000_s45" type="#_x0000_t75" style="width:21.69pt;height:21.75pt;mso-wrap-distance-left:0.00pt;mso-wrap-distance-top:0.00pt;mso-wrap-distance-right:0.00pt;mso-wrap-distance-bottom:0.00pt;z-index:1;" stroked="f">
                <v:imagedata r:id="rId75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 Правилами ОРЭМ (согласно Приложению 2 к Регламенту определения объемов фактически поставленной на оптовый рынок мощности, Приказ ФСТ  России от 03.03.2009 № 32-э/1).</w:t>
      </w:r>
      <w:r>
        <w:rPr>
          <w:rFonts w:ascii="Times New Roman" w:hAnsi="Times New Roman" w:eastAsia="Arial" w:cs="Times New Roman"/>
          <w:sz w:val="22"/>
          <w:szCs w:val="22"/>
        </w:rPr>
      </w:r>
      <w:r>
        <w:rPr>
          <w:rFonts w:ascii="Times New Roman" w:hAnsi="Times New Roman" w:eastAsia="Arial" w:cs="Times New Roman"/>
          <w:sz w:val="22"/>
          <w:szCs w:val="22"/>
        </w:rPr>
      </w:r>
    </w:p>
    <w:p>
      <w:pPr>
        <w:pStyle w:val="767"/>
        <w:numPr>
          <w:ilvl w:val="0"/>
          <w:numId w:val="0"/>
        </w:numPr>
        <w:pBdr/>
        <w:spacing w:after="120" w:before="120" w:line="276" w:lineRule="auto"/>
        <w:ind w:right="0" w:firstLine="567" w:left="0"/>
        <w:jc w:val="both"/>
        <w:outlineLvl w:val="2"/>
        <w:rPr>
          <w:rFonts w:ascii="Times New Roman" w:hAnsi="Times New Roman" w:eastAsia="Arial" w:cs="Times New Roman"/>
          <w:sz w:val="22"/>
          <w:szCs w:val="22"/>
        </w:rPr>
      </w:pPr>
      <w:r>
        <w:rPr>
          <w:rFonts w:ascii="Times New Roman" w:hAnsi="Times New Roman" w:eastAsia="Arial" w:cs="Times New Roman"/>
          <w:sz w:val="22"/>
          <w:szCs w:val="22"/>
        </w:rPr>
        <w:t xml:space="preserve">Для входящей в состав Дальневосточного федерального округа отдельной территории, ранее относившейся к неценовым зонам, </w:t>
      </w: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6320" cy="276718"/>
                <wp:effectExtent l="0" t="0" r="0" b="0"/>
                <wp:docPr id="47" name="_x0000_i107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7428372" name=""/>
                        <pic:cNvPicPr/>
                        <pic:nvPr/>
                      </pic:nvPicPr>
                      <pic:blipFill>
                        <a:blip r:embed="rId77">
                          <a:extLst>
                            <a:ext uri="{96DAC541-7B7A-43D3-8B79-37D633B846F1}">
                              <asvg:svgBlip xmlns:asvg="http://schemas.microsoft.com/office/drawing/2016/SVG/main" r:embed="rId78"/>
                            </a:ext>
                          </a:extLst>
                        </a:blip>
                        <a:srcRect l="-277" t="-651" r="-277" b="-650"/>
                        <a:stretch/>
                      </pic:blipFill>
                      <pic:spPr bwMode="auto">
                        <a:xfrm>
                          <a:off x="0" y="0"/>
                          <a:ext cx="636319" cy="2767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6" o:spid="_x0000_s46" type="#_x0000_t75" style="width:50.10pt;height:21.79pt;mso-wrap-distance-left:0.00pt;mso-wrap-distance-top:0.00pt;mso-wrap-distance-right:0.00pt;mso-wrap-distance-bottom:0.00pt;z-index:1;" stroked="f">
                <v:imagedata r:id="rId77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.</w:t>
      </w:r>
      <w:r>
        <w:rPr>
          <w:rFonts w:ascii="Times New Roman" w:hAnsi="Times New Roman" w:eastAsia="Arial" w:cs="Times New Roman"/>
          <w:sz w:val="22"/>
          <w:szCs w:val="22"/>
        </w:rPr>
      </w:r>
      <w:r>
        <w:rPr>
          <w:rFonts w:ascii="Times New Roman" w:hAnsi="Times New Roman" w:eastAsia="Arial" w:cs="Times New Roman"/>
          <w:sz w:val="22"/>
          <w:szCs w:val="22"/>
        </w:rPr>
      </w:r>
    </w:p>
    <w:p>
      <w:pPr>
        <w:pStyle w:val="767"/>
        <w:pBdr/>
        <w:spacing w:after="200" w:before="0" w:line="276" w:lineRule="auto"/>
        <w:ind w:right="0" w:firstLine="567" w:left="0"/>
        <w:jc w:val="both"/>
        <w:rPr>
          <w:rFonts w:ascii="Times New Roman" w:hAnsi="Times New Roman" w:eastAsia="Arial" w:cs="Times New Roman"/>
          <w:sz w:val="22"/>
          <w:szCs w:val="22"/>
        </w:rPr>
      </w:pPr>
      <w:r>
        <w:rPr>
          <w:rFonts w:ascii="Times New Roman" w:hAnsi="Times New Roman" w:eastAsia="Arial" w:cs="Times New Roman"/>
          <w:sz w:val="22"/>
          <w:szCs w:val="22"/>
        </w:rPr>
        <w:t xml:space="preserve">В соответствии с Постановлением Правительства РФ от 27.12.2010 N 1172 (р</w:t>
      </w:r>
      <w:r>
        <w:rPr>
          <w:rFonts w:ascii="Times New Roman" w:hAnsi="Times New Roman" w:eastAsia="Arial" w:cs="Times New Roman"/>
          <w:sz w:val="22"/>
          <w:szCs w:val="22"/>
        </w:rPr>
        <w:t xml:space="preserve">ед. от 04.02.2025) "Об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мощности": </w:t>
      </w:r>
      <w:r>
        <w:rPr>
          <w:rFonts w:ascii="Times New Roman" w:hAnsi="Times New Roman" w:eastAsia="Arial" w:cs="Times New Roman"/>
          <w:sz w:val="22"/>
          <w:szCs w:val="22"/>
        </w:rPr>
      </w:r>
      <w:r>
        <w:rPr>
          <w:rFonts w:ascii="Times New Roman" w:hAnsi="Times New Roman" w:eastAsia="Arial" w:cs="Times New Roman"/>
          <w:sz w:val="22"/>
          <w:szCs w:val="22"/>
        </w:rPr>
      </w:r>
    </w:p>
    <w:p>
      <w:pPr>
        <w:pStyle w:val="767"/>
        <w:pBdr/>
        <w:spacing w:after="200" w:before="0" w:line="276" w:lineRule="auto"/>
        <w:ind w:right="0" w:firstLine="567" w:left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Arial" w:cs="Times New Roman"/>
          <w:sz w:val="22"/>
          <w:szCs w:val="22"/>
        </w:rPr>
        <w:t xml:space="preserve">- стоимость мощности, продаваемой по итогам конкурентного отбора мощности, определяется исходя из цены, определенной в соответствии с договором о присоединении к торговой системе оптового рынка организацией коммерче</w:t>
      </w:r>
      <w:r>
        <w:rPr>
          <w:rFonts w:ascii="Times New Roman" w:hAnsi="Times New Roman" w:eastAsia="Arial" w:cs="Times New Roman"/>
          <w:sz w:val="22"/>
          <w:szCs w:val="22"/>
        </w:rPr>
        <w:t xml:space="preserve">ской инфраструктуры по результатам конкурентного отбора мощности по соответствующей группе точек поставки с учетом индексации этой цены, на условиях и в порядке, которые установлены Правилами индексации цены на мощность, умноженной на сезонный коэффициент.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767"/>
        <w:pBdr/>
        <w:spacing w:after="200" w:before="0" w:line="276" w:lineRule="auto"/>
        <w:ind w:right="0" w:firstLine="567" w:left="0"/>
        <w:jc w:val="both"/>
        <w:rPr>
          <w:rFonts w:ascii="Times New Roman" w:hAnsi="Times New Roman" w:eastAsia="Arial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  </w:t>
      </w:r>
      <w:r>
        <w:rPr>
          <w:rFonts w:ascii="Times New Roman" w:hAnsi="Times New Roman" w:eastAsia="Arial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3796" cy="300425"/>
                <wp:effectExtent l="0" t="0" r="0" b="0"/>
                <wp:docPr id="48" name="_x0000_i107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2841611" name=""/>
                        <pic:cNvPicPr/>
                        <pic:nvPr/>
                      </pic:nvPicPr>
                      <pic:blipFill>
                        <a:blip r:embed="rId79">
                          <a:extLst>
                            <a:ext uri="{96DAC541-7B7A-43D3-8B79-37D633B846F1}">
                              <asvg:svgBlip xmlns:asvg="http://schemas.microsoft.com/office/drawing/2016/SVG/main" r:embed="rId80"/>
                            </a:ext>
                          </a:extLst>
                        </a:blip>
                        <a:srcRect l="-277" t="-429" r="-277" b="-429"/>
                        <a:stretch/>
                      </pic:blipFill>
                      <pic:spPr bwMode="auto">
                        <a:xfrm>
                          <a:off x="0" y="0"/>
                          <a:ext cx="473796" cy="3004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7" o:spid="_x0000_s47" type="#_x0000_t75" style="width:37.31pt;height:23.66pt;mso-wrap-distance-left:0.00pt;mso-wrap-distance-top:0.00pt;mso-wrap-distance-right:0.00pt;mso-wrap-distance-bottom:0.00pt;z-index:1;" stroked="f">
                <v:imagedata r:id="rId7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 - цена на мощность в месяце (m), определяемая согласно Правилам ОРЭМ для генерирующего объекта (g) тепловой электростанции на входящей в состав </w:t>
      </w:r>
      <w:r>
        <w:rPr>
          <w:rFonts w:ascii="Times New Roman" w:hAnsi="Times New Roman" w:eastAsia="Arial" w:cs="Times New Roman"/>
          <w:sz w:val="22"/>
          <w:szCs w:val="22"/>
        </w:rPr>
        <w:t xml:space="preserve">Дальневосточного федерального округа от</w:t>
      </w:r>
      <w:r>
        <w:rPr>
          <w:rFonts w:ascii="Times New Roman" w:hAnsi="Times New Roman" w:eastAsia="Arial" w:cs="Times New Roman"/>
          <w:sz w:val="22"/>
          <w:szCs w:val="22"/>
        </w:rPr>
        <w:t xml:space="preserve">дельной территории, ранее относившейся к неценовым зонам, включенного в перечень генерирующих объектов на отдельных территориях, ранее относившихся к неценовым зонам, частичная компенсация стоимости мощности которого </w:t>
      </w:r>
      <w:r>
        <w:rPr>
          <w:rFonts w:ascii="Times New Roman" w:hAnsi="Times New Roman" w:eastAsia="Arial" w:cs="Times New Roman"/>
          <w:sz w:val="22"/>
          <w:szCs w:val="22"/>
        </w:rPr>
        <w:t xml:space="preserve">осуществляется за счет надбавки к цене на мощность, поставляемой субъектом оптового рынка - производителем электрической энергии (мощности) (pr), в отношении которого Правительством Российской Федерации принято соответствующее решение (рублей/МВт в месяц);</w:t>
      </w:r>
      <w:r>
        <w:rPr>
          <w:rFonts w:ascii="Times New Roman" w:hAnsi="Times New Roman" w:eastAsia="Arial" w:cs="Times New Roman"/>
          <w:sz w:val="22"/>
          <w:szCs w:val="22"/>
        </w:rPr>
      </w:r>
      <w:r>
        <w:rPr>
          <w:rFonts w:ascii="Times New Roman" w:hAnsi="Times New Roman" w:eastAsia="Arial" w:cs="Times New Roman"/>
          <w:sz w:val="22"/>
          <w:szCs w:val="22"/>
        </w:rPr>
      </w:r>
    </w:p>
    <w:p>
      <w:pPr>
        <w:pStyle w:val="767"/>
        <w:pBdr/>
        <w:spacing w:after="200" w:before="0" w:line="276" w:lineRule="auto"/>
        <w:ind w:right="0" w:firstLine="567" w:left="0"/>
        <w:jc w:val="both"/>
        <w:rPr>
          <w:rFonts w:ascii="Times New Roman" w:hAnsi="Times New Roman" w:eastAsia="Arial" w:cs="Times New Roman"/>
          <w:sz w:val="22"/>
          <w:szCs w:val="22"/>
        </w:rPr>
      </w:pPr>
      <w:r>
        <w:rPr>
          <w:rFonts w:ascii="Times New Roman" w:hAnsi="Times New Roman" w:eastAsia="Arial" w:cs="Times New Roman"/>
          <w:sz w:val="22"/>
          <w:szCs w:val="22"/>
        </w:rPr>
        <w:t xml:space="preserve">- сезонный коэффициент определяет</w:t>
      </w:r>
      <w:r>
        <w:rPr>
          <w:rFonts w:ascii="Times New Roman" w:hAnsi="Times New Roman" w:eastAsia="Arial" w:cs="Times New Roman"/>
          <w:sz w:val="22"/>
          <w:szCs w:val="22"/>
        </w:rPr>
        <w:t xml:space="preserve">ся в соответствии с договором о присоединении к торговой системе оптового рынка как отношение среднего за 3 предшествующих года значения объема максимального потребления электрической энергии в определенные системным оператором плановые часы пиковой нагруз</w:t>
      </w:r>
      <w:r>
        <w:rPr>
          <w:rFonts w:ascii="Times New Roman" w:hAnsi="Times New Roman" w:eastAsia="Arial" w:cs="Times New Roman"/>
          <w:sz w:val="22"/>
          <w:szCs w:val="22"/>
        </w:rPr>
        <w:t xml:space="preserve">ки в ценовой зоне в соответствующем месяце к среднему за 3 предшествующих года значению объема среднегодового максимального потребления электрической энергии в определенные системным оператором плановые часы пиковой нагрузки в этой же ценовой зоне. При это</w:t>
      </w:r>
      <w:r>
        <w:rPr>
          <w:rFonts w:ascii="Times New Roman" w:hAnsi="Times New Roman" w:eastAsia="Arial" w:cs="Times New Roman"/>
          <w:sz w:val="22"/>
          <w:szCs w:val="22"/>
        </w:rPr>
        <w:t xml:space="preserve">м для второй ценовой зоны до 31 декабря 2028 г. включительно сезонный коэффициент определяется без учета потребления электрической энергии на входящей в состав Дальневосточного федерального округа отдельной территории, ранее относившейся к неценовым зонам.</w:t>
      </w:r>
      <w:r>
        <w:rPr>
          <w:rFonts w:ascii="Times New Roman" w:hAnsi="Times New Roman" w:eastAsia="Arial" w:cs="Times New Roman"/>
          <w:sz w:val="22"/>
          <w:szCs w:val="22"/>
        </w:rPr>
      </w:r>
      <w:r>
        <w:rPr>
          <w:rFonts w:ascii="Times New Roman" w:hAnsi="Times New Roman" w:eastAsia="Arial" w:cs="Times New Roman"/>
          <w:sz w:val="22"/>
          <w:szCs w:val="22"/>
        </w:rPr>
      </w:r>
    </w:p>
    <w:p>
      <w:pPr>
        <w:pStyle w:val="767"/>
        <w:widowControl w:val="false"/>
        <w:pBdr/>
        <w:spacing w:after="200" w:before="240" w:line="276" w:lineRule="auto"/>
        <w:ind/>
        <w:jc w:val="both"/>
        <w:rPr>
          <w:rFonts w:ascii="Times New Roman" w:hAnsi="Times New Roman" w:eastAsia="Arial" w:cs="Times New Roman"/>
          <w:sz w:val="22"/>
          <w:szCs w:val="22"/>
        </w:rPr>
      </w:pPr>
      <w:r>
        <w:rPr>
          <w:rFonts w:ascii="Times New Roman" w:hAnsi="Times New Roman" w:eastAsia="Arial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6350" cy="303025"/>
                <wp:effectExtent l="0" t="0" r="0" b="0"/>
                <wp:docPr id="49" name="_x0000_i107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5135463" name=""/>
                        <pic:cNvPicPr/>
                        <pic:nvPr/>
                      </pic:nvPicPr>
                      <pic:blipFill>
                        <a:blip r:embed="rId81">
                          <a:extLst>
                            <a:ext uri="{96DAC541-7B7A-43D3-8B79-37D633B846F1}">
                              <asvg:svgBlip xmlns:asvg="http://schemas.microsoft.com/office/drawing/2016/SVG/main" r:embed="rId82"/>
                            </a:ext>
                          </a:extLst>
                        </a:blip>
                        <a:srcRect l="-277" t="-416" r="-277" b="-415"/>
                        <a:stretch/>
                      </pic:blipFill>
                      <pic:spPr bwMode="auto">
                        <a:xfrm>
                          <a:off x="0" y="0"/>
                          <a:ext cx="456349" cy="3030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8" o:spid="_x0000_s48" type="#_x0000_t75" style="width:35.93pt;height:23.86pt;mso-wrap-distance-left:0.00pt;mso-wrap-distance-top:0.00pt;mso-wrap-distance-right:0.00pt;mso-wrap-distance-bottom:0.00pt;z-index:1;" stroked="f">
                <v:imagedata r:id="rId81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2"/>
          <w:szCs w:val="22"/>
        </w:rPr>
        <w:t xml:space="preserve"> - сезонный коэффициент, рассчитанный для ценовой зоны оптового рынка (z) месяца (m); </w:t>
      </w:r>
      <w:r>
        <w:rPr>
          <w:rFonts w:ascii="Times New Roman" w:hAnsi="Times New Roman" w:eastAsia="Arial" w:cs="Times New Roman"/>
          <w:sz w:val="22"/>
          <w:szCs w:val="22"/>
        </w:rPr>
      </w:r>
      <w:r>
        <w:rPr>
          <w:rFonts w:ascii="Times New Roman" w:hAnsi="Times New Roman" w:eastAsia="Arial" w:cs="Times New Roman"/>
          <w:sz w:val="22"/>
          <w:szCs w:val="22"/>
        </w:rPr>
      </w:r>
    </w:p>
    <w:p>
      <w:pPr>
        <w:pStyle w:val="767"/>
        <w:pBdr/>
        <w:spacing w:after="20" w:before="20" w:line="276" w:lineRule="auto"/>
        <w:ind w:right="0" w:firstLine="709" w:left="0"/>
        <w:jc w:val="both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Arial" w:cs="Times New Roman"/>
          <w:sz w:val="20"/>
          <w:szCs w:val="20"/>
        </w:rPr>
        <w:t xml:space="preserve">Стоимость недопоставки мощности (снижение оплаты мощности) рассчитывается как произведение объема недопоставки мощности </w:t>
      </w:r>
      <w:r>
        <w:rPr>
          <w:sz w:val="18"/>
          <w:szCs w:val="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20700" cy="233045"/>
                <wp:effectExtent l="0" t="0" r="0" b="0"/>
                <wp:docPr id="50" name="_x0000_i4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83"/>
                        <a:stretch/>
                      </pic:blipFill>
                      <pic:spPr bwMode="auto">
                        <a:xfrm>
                          <a:off x="0" y="0"/>
                          <a:ext cx="520700" cy="233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9" o:spid="_x0000_s49" type="#_x0000_t75" style="width:41.00pt;height:18.35pt;mso-wrap-distance-left:0.00pt;mso-wrap-distance-top:0.00pt;mso-wrap-distance-right:0.00pt;mso-wrap-distance-bottom:0.00pt;z-index:1;" stroked="f">
                <v:imagedata r:id="rId83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0"/>
          <w:szCs w:val="20"/>
        </w:rPr>
        <w:t xml:space="preserve"> на цену </w:t>
      </w:r>
      <w:r>
        <w:rPr>
          <w:rFonts w:ascii="Times New Roman" w:hAnsi="Times New Roman" w:cs="Times New Roman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3796" cy="300425"/>
                <wp:effectExtent l="0" t="0" r="0" b="0"/>
                <wp:docPr id="51" name="_x0000_i107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33355549" name=""/>
                        <pic:cNvPicPr/>
                        <pic:nvPr/>
                      </pic:nvPicPr>
                      <pic:blipFill>
                        <a:blip r:embed="rId84"/>
                        <a:srcRect l="-277" t="-429" r="-277" b="-429"/>
                        <a:stretch/>
                      </pic:blipFill>
                      <pic:spPr bwMode="auto">
                        <a:xfrm>
                          <a:off x="0" y="0"/>
                          <a:ext cx="473796" cy="3004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50" o:spid="_x0000_s50" type="#_x0000_t75" style="width:37.31pt;height:23.66pt;mso-wrap-distance-left:0.00pt;mso-wrap-distance-top:0.00pt;mso-wrap-distance-right:0.00pt;mso-wrap-distance-bottom:0.00pt;z-index:1;" stroked="f">
                <v:imagedata r:id="rId84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0"/>
          <w:szCs w:val="20"/>
        </w:rPr>
        <w:t xml:space="preserve"> и на коэффициент сезонности</w:t>
      </w:r>
      <w:r>
        <w:rPr>
          <w:rFonts w:ascii="Times New Roman" w:hAnsi="Times New Roman" w:cs="Times New Roman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6350" cy="303025"/>
                <wp:effectExtent l="0" t="0" r="0" b="0"/>
                <wp:docPr id="52" name="_x0000_i107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0770110" name=""/>
                        <pic:cNvPicPr/>
                        <pic:nvPr/>
                      </pic:nvPicPr>
                      <pic:blipFill>
                        <a:blip r:embed="rId85"/>
                        <a:srcRect l="-277" t="-416" r="-277" b="-415"/>
                        <a:stretch/>
                      </pic:blipFill>
                      <pic:spPr bwMode="auto">
                        <a:xfrm>
                          <a:off x="0" y="0"/>
                          <a:ext cx="456349" cy="3030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51" o:spid="_x0000_s51" type="#_x0000_t75" style="width:35.93pt;height:23.86pt;mso-wrap-distance-left:0.00pt;mso-wrap-distance-top:0.00pt;mso-wrap-distance-right:0.00pt;mso-wrap-distance-bottom:0.00pt;z-index:1;" stroked="f">
                <v:imagedata r:id="rId85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Arial" w:cs="Times New Roman"/>
          <w:sz w:val="20"/>
          <w:szCs w:val="20"/>
        </w:rPr>
        <w:t xml:space="preserve">.  </w:t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</w:p>
    <w:p>
      <w:pPr>
        <w:pStyle w:val="767"/>
        <w:keepNext w:val="true"/>
        <w:numPr>
          <w:ilvl w:val="0"/>
          <w:numId w:val="0"/>
        </w:numPr>
        <w:pBdr/>
        <w:spacing/>
        <w:ind w:right="-1" w:firstLine="567" w:left="709"/>
        <w:jc w:val="center"/>
        <w:outlineLvl w:val="0"/>
        <w:rPr>
          <w:highlight w:val="none"/>
        </w:rPr>
      </w:pPr>
      <w:r>
        <w:rPr>
          <w:b/>
          <w:bCs/>
          <w:sz w:val="20"/>
          <w:szCs w:val="20"/>
          <w:highlight w:val="none"/>
          <w:shd w:val="clear" w:color="auto" w:fill="auto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767"/>
        <w:keepNext w:val="true"/>
        <w:numPr>
          <w:ilvl w:val="0"/>
          <w:numId w:val="0"/>
        </w:numPr>
        <w:pBdr/>
        <w:spacing/>
        <w:ind w:right="-1" w:firstLine="567" w:left="709"/>
        <w:jc w:val="center"/>
        <w:outlineLvl w:val="0"/>
        <w:rPr>
          <w:b/>
          <w:bCs/>
          <w:sz w:val="20"/>
          <w:szCs w:val="20"/>
          <w:highlight w:val="none"/>
          <w:lang w:val="ru-RU"/>
        </w:rPr>
      </w:pPr>
      <w:r>
        <w:rPr>
          <w:b/>
          <w:bCs/>
          <w:sz w:val="20"/>
          <w:szCs w:val="20"/>
          <w:highlight w:val="none"/>
          <w:shd w:val="clear" w:color="auto" w:fill="auto"/>
          <w:lang w:val="ru-RU"/>
        </w:rPr>
      </w:r>
      <w:r>
        <w:rPr>
          <w:b/>
          <w:bCs/>
          <w:sz w:val="20"/>
          <w:szCs w:val="20"/>
          <w:highlight w:val="none"/>
          <w:lang w:val="ru-RU"/>
        </w:rPr>
      </w:r>
      <w:r>
        <w:rPr>
          <w:b/>
          <w:bCs/>
          <w:sz w:val="20"/>
          <w:szCs w:val="20"/>
          <w:highlight w:val="none"/>
          <w:lang w:val="ru-RU"/>
        </w:rPr>
      </w:r>
    </w:p>
    <w:p>
      <w:pPr>
        <w:pStyle w:val="767"/>
        <w:pBdr/>
        <w:spacing/>
        <w:ind w:right="-1" w:firstLine="0"/>
        <w:jc w:val="both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tbl>
      <w:tblPr>
        <w:tblW w:w="9639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43"/>
        <w:gridCol w:w="4995"/>
      </w:tblGrid>
      <w:tr>
        <w:trPr/>
        <w:tc>
          <w:tcPr>
            <w:tcBorders/>
            <w:tcW w:w="4643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 w:right="-1" w:firstLine="567"/>
              <w:jc w:val="center"/>
              <w:rPr>
                <w:highlight w:val="none"/>
                <w:shd w:val="clear" w:color="auto" w:fill="auto"/>
              </w:rPr>
            </w:pPr>
            <w:r>
              <w:rPr>
                <w:b/>
                <w:sz w:val="20"/>
                <w:szCs w:val="20"/>
                <w:shd w:val="clear" w:color="auto" w:fill="auto"/>
                <w:lang w:val="ru-RU"/>
              </w:rPr>
              <w:t xml:space="preserve">Заказчик: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/>
            <w:tcW w:w="4995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 w:right="-1" w:firstLine="567"/>
              <w:jc w:val="center"/>
              <w:rPr>
                <w:highlight w:val="none"/>
                <w:shd w:val="clear" w:color="auto" w:fill="auto"/>
              </w:rPr>
            </w:pPr>
            <w:r>
              <w:rPr>
                <w:b/>
                <w:sz w:val="20"/>
                <w:szCs w:val="20"/>
                <w:shd w:val="clear" w:color="auto" w:fill="auto"/>
                <w:lang w:val="ru-RU"/>
              </w:rPr>
              <w:t xml:space="preserve">Исполнитель: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/>
        <w:tc>
          <w:tcPr>
            <w:tcBorders/>
            <w:tcW w:w="4643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 w:right="-1" w:firstLine="567"/>
              <w:jc w:val="both"/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  <w:p>
            <w:pPr>
              <w:pStyle w:val="767"/>
              <w:widowControl w:val="false"/>
              <w:pBdr/>
              <w:spacing/>
              <w:ind w:right="-1" w:firstLine="567"/>
              <w:jc w:val="center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_______________ / 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/>
            <w:tcW w:w="4995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 w:right="-1" w:firstLine="567"/>
              <w:jc w:val="both"/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  <w:p>
            <w:pPr>
              <w:pStyle w:val="767"/>
              <w:widowControl w:val="false"/>
              <w:pBdr/>
              <w:spacing/>
              <w:ind w:right="-1" w:firstLine="567"/>
              <w:jc w:val="center"/>
              <w:rPr>
                <w:highlight w:val="none"/>
                <w:shd w:val="clear" w:color="auto" w:fill="auto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  <w:t xml:space="preserve">_______________ / 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 w:right="-1" w:firstLine="567"/>
              <w:jc w:val="center"/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pPr>
            <w:r>
              <w:rPr>
                <w:sz w:val="20"/>
                <w:szCs w:val="20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  <w:r>
              <w:rPr>
                <w:sz w:val="20"/>
                <w:szCs w:val="20"/>
                <w:highlight w:val="none"/>
                <w:shd w:val="clear" w:color="auto" w:fill="auto"/>
                <w:lang w:val="ru-RU"/>
              </w:rPr>
            </w:r>
          </w:p>
        </w:tc>
      </w:tr>
    </w:tbl>
    <w:p>
      <w:pPr>
        <w:pStyle w:val="767"/>
        <w:pBdr/>
        <w:spacing/>
        <w:ind w:right="-1" w:firstLine="0"/>
        <w:jc w:val="left"/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jc w:val="left"/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lang w:val="ru-RU"/>
        </w:rPr>
      </w:pP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lang w:val="ru-RU"/>
        </w:rPr>
      </w:r>
      <w:r>
        <w:rPr>
          <w:sz w:val="20"/>
          <w:szCs w:val="20"/>
          <w:highlight w:val="none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  <w:t xml:space="preserve">Приложение  №8</w:t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к договору______________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709"/>
          <w:tab w:val="left" w:leader="none" w:pos="7020"/>
        </w:tabs>
        <w:spacing w:line="24" w:lineRule="atLeast"/>
        <w:ind/>
        <w:jc w:val="right"/>
        <w:rPr>
          <w:highlight w:val="none"/>
          <w:shd w:val="clear" w:color="auto" w:fill="auto"/>
        </w:rPr>
      </w:pPr>
      <w:r>
        <w:rPr>
          <w:sz w:val="20"/>
          <w:szCs w:val="20"/>
          <w:shd w:val="clear" w:color="auto" w:fill="auto"/>
          <w:lang w:val="ru-RU"/>
        </w:rPr>
        <w:t xml:space="preserve">от « ___ » ________202__г.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tabs>
          <w:tab w:val="clear" w:leader="none" w:pos="708"/>
          <w:tab w:val="left" w:leader="none" w:pos="8222"/>
        </w:tabs>
        <w:spacing/>
        <w:ind w:firstLine="0" w:left="4820"/>
        <w:jc w:val="right"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 w:right="-1" w:firstLine="0"/>
        <w:rPr>
          <w:rFonts w:eastAsia="Geneva"/>
          <w:sz w:val="20"/>
          <w:szCs w:val="20"/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</w:rPr>
      </w:r>
      <w:r>
        <w:rPr>
          <w:rFonts w:eastAsia="Geneva"/>
          <w:sz w:val="20"/>
          <w:szCs w:val="20"/>
          <w:highlight w:val="none"/>
          <w:shd w:val="clear" w:color="auto" w:fill="auto"/>
        </w:rPr>
      </w:r>
      <w:r>
        <w:rPr>
          <w:rFonts w:eastAsia="Geneva"/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spacing/>
        <w:ind w:right="-1" w:firstLine="0"/>
        <w:rPr>
          <w:rFonts w:eastAsia="Geneva"/>
          <w:sz w:val="20"/>
          <w:szCs w:val="20"/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</w:rPr>
      </w:r>
      <w:r>
        <w:rPr>
          <w:rFonts w:eastAsia="Geneva"/>
          <w:sz w:val="20"/>
          <w:szCs w:val="20"/>
          <w:highlight w:val="none"/>
          <w:shd w:val="clear" w:color="auto" w:fill="auto"/>
        </w:rPr>
      </w:r>
      <w:r>
        <w:rPr>
          <w:rFonts w:eastAsia="Geneva"/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spacing/>
        <w:ind w:right="-1" w:firstLine="0"/>
        <w:rPr>
          <w:rFonts w:eastAsia="Geneva"/>
          <w:sz w:val="20"/>
          <w:szCs w:val="20"/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</w:rPr>
      </w:r>
      <w:r>
        <w:rPr>
          <w:rFonts w:eastAsia="Geneva"/>
          <w:sz w:val="20"/>
          <w:szCs w:val="20"/>
          <w:highlight w:val="none"/>
          <w:shd w:val="clear" w:color="auto" w:fill="auto"/>
        </w:rPr>
      </w:r>
      <w:r>
        <w:rPr>
          <w:rFonts w:eastAsia="Geneva"/>
          <w:sz w:val="20"/>
          <w:szCs w:val="20"/>
          <w:highlight w:val="none"/>
          <w:shd w:val="clear" w:color="auto" w:fill="auto"/>
        </w:rPr>
      </w:r>
    </w:p>
    <w:tbl>
      <w:tblPr>
        <w:tblW w:w="9793" w:type="dxa"/>
        <w:tblInd w:w="10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96"/>
        <w:gridCol w:w="4896"/>
      </w:tblGrid>
      <w:tr>
        <w:trPr>
          <w:trHeight w:val="585"/>
        </w:trPr>
        <w:tc>
          <w:tcPr>
            <w:tcBorders/>
            <w:tcW w:w="4896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 w:right="-1" w:firstLine="0"/>
              <w:rPr>
                <w:highlight w:val="none"/>
                <w:shd w:val="clear" w:color="auto" w:fill="auto"/>
              </w:rPr>
            </w:pPr>
            <w:r>
              <w:rPr>
                <w:rFonts w:eastAsia="Geneva"/>
                <w:b/>
                <w:sz w:val="20"/>
                <w:szCs w:val="20"/>
                <w:shd w:val="clear" w:color="auto" w:fill="auto"/>
              </w:rPr>
              <w:t xml:space="preserve">«УТВЕРЖДАЮ»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 w:right="-1" w:firstLine="0"/>
              <w:rPr>
                <w:highlight w:val="none"/>
                <w:shd w:val="clear" w:color="auto" w:fill="auto"/>
              </w:rPr>
            </w:pPr>
            <w:r>
              <w:rPr>
                <w:rFonts w:eastAsia="Geneva"/>
                <w:b/>
                <w:sz w:val="20"/>
                <w:szCs w:val="20"/>
                <w:shd w:val="clear" w:color="auto" w:fill="auto"/>
              </w:rPr>
              <w:t xml:space="preserve">Заказчик: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/>
            <w:tcW w:w="4896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 w:right="-1" w:firstLine="0"/>
              <w:jc w:val="right"/>
              <w:rPr>
                <w:highlight w:val="none"/>
                <w:shd w:val="clear" w:color="auto" w:fill="auto"/>
              </w:rPr>
            </w:pPr>
            <w:r>
              <w:rPr>
                <w:rFonts w:eastAsia="Geneva"/>
                <w:b/>
                <w:sz w:val="20"/>
                <w:szCs w:val="20"/>
                <w:shd w:val="clear" w:color="auto" w:fill="auto"/>
              </w:rPr>
              <w:t xml:space="preserve">«СОГЛАСОВАНО»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 w:right="-1" w:firstLine="0"/>
              <w:jc w:val="right"/>
              <w:rPr>
                <w:highlight w:val="none"/>
                <w:shd w:val="clear" w:color="auto" w:fill="auto"/>
              </w:rPr>
            </w:pPr>
            <w:r>
              <w:rPr>
                <w:rFonts w:eastAsia="Geneva"/>
                <w:b/>
                <w:sz w:val="20"/>
                <w:szCs w:val="20"/>
                <w:shd w:val="clear" w:color="auto" w:fill="auto"/>
              </w:rPr>
              <w:t xml:space="preserve">Исполнитель: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  <w:tr>
        <w:trPr>
          <w:trHeight w:val="1315"/>
        </w:trPr>
        <w:tc>
          <w:tcPr>
            <w:tcBorders/>
            <w:tcW w:w="4896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 w:right="-1" w:firstLine="0"/>
              <w:rPr>
                <w:highlight w:val="none"/>
                <w:shd w:val="clear" w:color="auto" w:fill="auto"/>
              </w:rPr>
            </w:pPr>
            <w:r>
              <w:rPr>
                <w:rFonts w:eastAsia="Geneva"/>
                <w:sz w:val="20"/>
                <w:szCs w:val="20"/>
                <w:shd w:val="clear" w:color="auto" w:fill="auto"/>
              </w:rPr>
              <w:t xml:space="preserve">_______________ / 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 w:right="-1" w:firstLine="0"/>
              <w:rPr>
                <w:highlight w:val="none"/>
                <w:shd w:val="clear" w:color="auto" w:fill="auto"/>
              </w:rPr>
            </w:pPr>
            <w:r>
              <w:rPr>
                <w:rFonts w:eastAsia="Geneva"/>
                <w:sz w:val="20"/>
                <w:szCs w:val="20"/>
                <w:shd w:val="clear" w:color="auto" w:fill="auto"/>
              </w:rPr>
              <w:t xml:space="preserve">«_____» 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 w:right="-1" w:firstLine="0"/>
              <w:rPr>
                <w:highlight w:val="none"/>
                <w:shd w:val="clear" w:color="auto" w:fill="auto"/>
              </w:rPr>
            </w:pPr>
            <w:r>
              <w:rPr>
                <w:rFonts w:eastAsia="Geneva"/>
                <w:sz w:val="20"/>
                <w:szCs w:val="20"/>
                <w:shd w:val="clear" w:color="auto" w:fill="auto"/>
              </w:rPr>
              <w:t xml:space="preserve">м.п.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Borders/>
            <w:tcW w:w="4896" w:type="dxa"/>
            <w:textDirection w:val="lrTb"/>
            <w:noWrap w:val="false"/>
          </w:tcPr>
          <w:p>
            <w:pPr>
              <w:pStyle w:val="767"/>
              <w:widowControl w:val="false"/>
              <w:pBdr/>
              <w:spacing/>
              <w:ind w:right="-1" w:firstLine="0"/>
              <w:jc w:val="right"/>
              <w:rPr>
                <w:highlight w:val="none"/>
                <w:shd w:val="clear" w:color="auto" w:fill="auto"/>
              </w:rPr>
            </w:pPr>
            <w:r>
              <w:rPr>
                <w:rFonts w:eastAsia="Geneva"/>
                <w:sz w:val="20"/>
                <w:szCs w:val="20"/>
                <w:shd w:val="clear" w:color="auto" w:fill="auto"/>
              </w:rPr>
              <w:t xml:space="preserve">_______________ / 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 w:right="-1" w:firstLine="0"/>
              <w:jc w:val="right"/>
              <w:rPr>
                <w:highlight w:val="none"/>
                <w:shd w:val="clear" w:color="auto" w:fill="auto"/>
              </w:rPr>
            </w:pPr>
            <w:r>
              <w:rPr>
                <w:rFonts w:eastAsia="Geneva"/>
                <w:sz w:val="20"/>
                <w:szCs w:val="20"/>
                <w:shd w:val="clear" w:color="auto" w:fill="auto"/>
              </w:rPr>
              <w:t xml:space="preserve">«_____» _______________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767"/>
              <w:widowControl w:val="false"/>
              <w:pBdr/>
              <w:spacing/>
              <w:ind w:right="-1" w:firstLine="0"/>
              <w:jc w:val="right"/>
              <w:rPr>
                <w:highlight w:val="none"/>
                <w:shd w:val="clear" w:color="auto" w:fill="auto"/>
              </w:rPr>
            </w:pPr>
            <w:r>
              <w:rPr>
                <w:rFonts w:eastAsia="Geneva"/>
                <w:sz w:val="20"/>
                <w:szCs w:val="20"/>
                <w:shd w:val="clear" w:color="auto" w:fill="auto"/>
              </w:rPr>
              <w:t xml:space="preserve">м.п.</w:t>
            </w:r>
            <w:r>
              <w:rPr>
                <w:highlight w:val="none"/>
                <w:shd w:val="clear" w:color="auto" w:fill="auto"/>
              </w:rPr>
            </w:r>
            <w:r>
              <w:rPr>
                <w:highlight w:val="none"/>
                <w:shd w:val="clear" w:color="auto" w:fill="auto"/>
              </w:rPr>
            </w:r>
          </w:p>
        </w:tc>
      </w:tr>
    </w:tbl>
    <w:p>
      <w:pPr>
        <w:pStyle w:val="767"/>
        <w:widowControl w:val="false"/>
        <w:pBdr/>
        <w:spacing/>
        <w:ind w:right="-1" w:firstLine="0"/>
        <w:rPr>
          <w:rFonts w:eastAsia="Geneva"/>
          <w:b/>
          <w:sz w:val="20"/>
          <w:szCs w:val="20"/>
          <w:highlight w:val="none"/>
          <w:shd w:val="clear" w:color="auto" w:fill="auto"/>
        </w:rPr>
      </w:pPr>
      <w:r>
        <w:rPr>
          <w:rFonts w:eastAsia="Geneva"/>
          <w:b/>
          <w:sz w:val="20"/>
          <w:szCs w:val="20"/>
          <w:shd w:val="clear" w:color="auto" w:fill="auto"/>
        </w:rPr>
      </w:r>
      <w:r>
        <w:rPr>
          <w:rFonts w:eastAsia="Geneva"/>
          <w:b/>
          <w:sz w:val="20"/>
          <w:szCs w:val="20"/>
          <w:highlight w:val="none"/>
          <w:shd w:val="clear" w:color="auto" w:fill="auto"/>
        </w:rPr>
      </w:r>
      <w:r>
        <w:rPr>
          <w:rFonts w:eastAsia="Geneva"/>
          <w:b/>
          <w:sz w:val="20"/>
          <w:szCs w:val="20"/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jc w:val="center"/>
        <w:rPr>
          <w:highlight w:val="none"/>
          <w:shd w:val="clear" w:color="auto" w:fill="auto"/>
        </w:rPr>
      </w:pPr>
      <w:r>
        <w:rPr>
          <w:rFonts w:eastAsia="Geneva"/>
          <w:b/>
          <w:sz w:val="20"/>
          <w:szCs w:val="20"/>
          <w:shd w:val="clear" w:color="auto" w:fill="auto"/>
          <w:lang w:val="ru-RU"/>
        </w:rPr>
        <w:t xml:space="preserve">(Заполняется на фирменном бланке налогового органа)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rPr>
          <w:rFonts w:eastAsia="Geneva"/>
          <w:b/>
          <w:sz w:val="20"/>
          <w:szCs w:val="20"/>
          <w:highlight w:val="none"/>
          <w:shd w:val="clear" w:color="auto" w:fill="auto"/>
          <w:lang w:val="ru-RU"/>
        </w:rPr>
      </w:pPr>
      <w:r>
        <w:rPr>
          <w:rFonts w:eastAsia="Geneva"/>
          <w:b/>
          <w:sz w:val="20"/>
          <w:szCs w:val="20"/>
          <w:shd w:val="clear" w:color="auto" w:fill="auto"/>
          <w:lang w:val="ru-RU"/>
        </w:rPr>
      </w:r>
      <w:r>
        <w:rPr>
          <w:rFonts w:eastAsia="Geneva"/>
          <w:b/>
          <w:sz w:val="20"/>
          <w:szCs w:val="20"/>
          <w:highlight w:val="none"/>
          <w:shd w:val="clear" w:color="auto" w:fill="auto"/>
          <w:lang w:val="ru-RU"/>
        </w:rPr>
      </w:r>
      <w:r>
        <w:rPr>
          <w:rFonts w:eastAsia="Geneva"/>
          <w:b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widowControl w:val="false"/>
        <w:pBdr/>
        <w:spacing/>
        <w:ind w:right="-1" w:firstLine="0"/>
        <w:jc w:val="center"/>
        <w:rPr>
          <w:highlight w:val="none"/>
          <w:shd w:val="clear" w:color="auto" w:fill="auto"/>
        </w:rPr>
      </w:pPr>
      <w:r>
        <w:rPr>
          <w:rFonts w:eastAsia="Geneva"/>
          <w:b/>
          <w:sz w:val="20"/>
          <w:szCs w:val="20"/>
          <w:shd w:val="clear" w:color="auto" w:fill="auto"/>
          <w:lang w:val="ru-RU"/>
        </w:rPr>
        <w:t xml:space="preserve">Информационное письмо налоговой инспекции о системе налогообложения контрагента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jc w:val="center"/>
        <w:rPr>
          <w:highlight w:val="none"/>
          <w:shd w:val="clear" w:color="auto" w:fill="auto"/>
        </w:rPr>
      </w:pPr>
      <w:r>
        <w:rPr>
          <w:rFonts w:eastAsia="Geneva"/>
          <w:b/>
          <w:sz w:val="20"/>
          <w:szCs w:val="20"/>
          <w:shd w:val="clear" w:color="auto" w:fill="auto"/>
          <w:lang w:val="ru-RU"/>
        </w:rPr>
        <w:t xml:space="preserve">(ФОРМА)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rPr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___________________________________________ в соответствии со статьей (пунктом статьи)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rPr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 </w:t>
      </w: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(название налогового органа)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widowControl w:val="false"/>
        <w:pBdr/>
        <w:spacing/>
        <w:ind w:right="-1" w:firstLine="0"/>
        <w:rPr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Налогового кодекса РФ на запрос ___________________________________________________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rPr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 </w:t>
      </w: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(название контрагента, ИНН/КПП)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widowControl w:val="false"/>
        <w:pBdr/>
        <w:spacing/>
        <w:ind w:right="-1" w:firstLine="0"/>
        <w:rPr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от __________________________________________ сообщает, что указанным плательщиком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rPr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 </w:t>
      </w: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(ЧЧ.ММ.ГГ., номер запроса контрагента)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widowControl w:val="false"/>
        <w:pBdr/>
        <w:spacing/>
        <w:ind w:right="-1" w:firstLine="0"/>
        <w:rPr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_____________________подано заявление о переходе на упрощенную систему налогообложения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rPr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 </w:t>
      </w: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(ЧЧ.ММ.ГГ.)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widowControl w:val="false"/>
        <w:pBdr/>
        <w:spacing/>
        <w:ind w:right="-1" w:firstLine="0"/>
        <w:rPr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с _______________.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rPr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 </w:t>
      </w: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(ЧЧ.ММ.ГГ.) 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widowControl w:val="false"/>
        <w:pBdr/>
        <w:spacing/>
        <w:ind w:right="-1" w:firstLine="0"/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widowControl w:val="false"/>
        <w:pBdr/>
        <w:spacing/>
        <w:ind w:right="-1" w:firstLine="0"/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widowControl w:val="false"/>
        <w:pBdr/>
        <w:spacing/>
        <w:ind w:right="-1" w:firstLine="0"/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widowControl w:val="false"/>
        <w:pBdr/>
        <w:spacing/>
        <w:ind w:right="-1" w:firstLine="0"/>
        <w:rPr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Руководитель налогового органа ______________________________(_____________________)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rPr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 </w:t>
      </w: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(подпись) (расшифровка)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widowControl w:val="false"/>
        <w:pBdr/>
        <w:spacing/>
        <w:ind w:right="-1" w:firstLine="0"/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  <w:r>
        <w:rPr>
          <w:rFonts w:eastAsia="Geneva"/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widowControl w:val="false"/>
        <w:pBdr/>
        <w:spacing/>
        <w:ind w:right="-1" w:firstLine="0"/>
        <w:rPr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  <w:lang w:val="ru-RU"/>
        </w:rPr>
        <w:t xml:space="preserve"> </w:t>
      </w:r>
      <w:r>
        <w:rPr>
          <w:rFonts w:eastAsia="Geneva"/>
          <w:sz w:val="20"/>
          <w:szCs w:val="20"/>
          <w:shd w:val="clear" w:color="auto" w:fill="auto"/>
        </w:rPr>
        <w:t xml:space="preserve">М.П.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67"/>
        <w:pBdr/>
        <w:spacing/>
        <w:ind w:right="-1" w:firstLine="0"/>
        <w:jc w:val="right"/>
        <w:rPr>
          <w:rFonts w:eastAsia="Geneva"/>
          <w:sz w:val="20"/>
          <w:szCs w:val="20"/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</w:rPr>
      </w:r>
      <w:r>
        <w:rPr>
          <w:rFonts w:eastAsia="Geneva"/>
          <w:sz w:val="20"/>
          <w:szCs w:val="20"/>
          <w:highlight w:val="none"/>
          <w:shd w:val="clear" w:color="auto" w:fill="auto"/>
        </w:rPr>
      </w:r>
      <w:r>
        <w:rPr>
          <w:rFonts w:eastAsia="Geneva"/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spacing/>
        <w:ind w:right="-1" w:firstLine="0"/>
        <w:rPr>
          <w:rFonts w:eastAsia="Geneva"/>
          <w:sz w:val="20"/>
          <w:szCs w:val="20"/>
          <w:highlight w:val="none"/>
          <w:shd w:val="clear" w:color="auto" w:fill="auto"/>
        </w:rPr>
      </w:pPr>
      <w:r>
        <w:rPr>
          <w:rFonts w:eastAsia="Geneva"/>
          <w:sz w:val="20"/>
          <w:szCs w:val="20"/>
          <w:shd w:val="clear" w:color="auto" w:fill="auto"/>
        </w:rPr>
      </w:r>
      <w:r>
        <w:rPr>
          <w:rFonts w:eastAsia="Geneva"/>
          <w:sz w:val="20"/>
          <w:szCs w:val="20"/>
          <w:highlight w:val="none"/>
          <w:shd w:val="clear" w:color="auto" w:fill="auto"/>
        </w:rPr>
      </w:r>
      <w:r>
        <w:rPr>
          <w:rFonts w:eastAsia="Geneva"/>
          <w:sz w:val="20"/>
          <w:szCs w:val="20"/>
          <w:highlight w:val="none"/>
          <w:shd w:val="clear" w:color="auto" w:fill="auto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sz w:val="20"/>
          <w:szCs w:val="20"/>
          <w:highlight w:val="none"/>
          <w:shd w:val="clear" w:color="auto" w:fill="auto"/>
          <w:lang w:val="ru-RU"/>
        </w:rPr>
      </w:pPr>
      <w:r>
        <w:rPr>
          <w:sz w:val="20"/>
          <w:szCs w:val="20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  <w:r>
        <w:rPr>
          <w:sz w:val="20"/>
          <w:szCs w:val="20"/>
          <w:highlight w:val="none"/>
          <w:shd w:val="clear" w:color="auto" w:fill="auto"/>
          <w:lang w:val="ru-RU"/>
        </w:rPr>
      </w:r>
    </w:p>
    <w:p>
      <w:pPr>
        <w:pStyle w:val="767"/>
        <w:pBdr/>
        <w:spacing/>
        <w:ind/>
        <w:rPr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sectPr>
      <w:footerReference w:type="default" r:id="rId9"/>
      <w:footnotePr>
        <w:numFmt w:val="decimal"/>
      </w:footnotePr>
      <w:endnotePr/>
      <w:type w:val="nextPage"/>
      <w:pgSz w:h="16838" w:orient="portrait" w:w="11906"/>
      <w:pgMar w:top="851" w:right="1134" w:bottom="1418" w:left="1134" w:header="0" w:footer="709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alibri">
    <w:panose1 w:val="020F0502020204030204"/>
  </w:font>
  <w:font w:name="Consolas">
    <w:panose1 w:val="020B0609020204030204"/>
  </w:font>
  <w:font w:name="Verdana">
    <w:panose1 w:val="020B0604030504040204"/>
  </w:font>
  <w:font w:name="Wingdings">
    <w:panose1 w:val="05010000000000000000"/>
  </w:font>
  <w:font w:name="Liberation Sans">
    <w:panose1 w:val="020B0604020202020204"/>
  </w:font>
  <w:font w:name="Geneva">
    <w:panose1 w:val="05040102010807070707"/>
  </w:font>
  <w:font w:name="Cambria">
    <w:panose1 w:val="02040803050406030204"/>
  </w:font>
  <w:font w:name="Arial">
    <w:panose1 w:val="020B060402020202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  <w:pBdr/>
      <w:tabs>
        <w:tab w:val="clear" w:leader="none" w:pos="708"/>
        <w:tab w:val="center" w:leader="none" w:pos="4677"/>
        <w:tab w:val="right" w:leader="none" w:pos="9355"/>
      </w:tabs>
      <w:spacing/>
      <w:ind/>
      <w:jc w:val="center"/>
      <w:rPr>
        <w:lang w:val="en-US" w:eastAsia="en-US"/>
      </w:rPr>
    </w:pPr>
    <w:r>
      <w:rPr>
        <w:lang w:val="en-US" w:eastAsia="en-US"/>
      </w:rPr>
      <w:fldChar w:fldCharType="begin"/>
    </w:r>
    <w:r>
      <w:rPr>
        <w:lang w:val="en-US" w:eastAsia="en-US"/>
      </w:rPr>
      <w:instrText xml:space="preserve"> PAGE </w:instrText>
    </w:r>
    <w:r>
      <w:rPr>
        <w:lang w:val="en-US" w:eastAsia="en-US"/>
      </w:rPr>
      <w:fldChar w:fldCharType="separate"/>
    </w:r>
    <w:r>
      <w:rPr>
        <w:lang w:val="en-US" w:eastAsia="en-US"/>
      </w:rPr>
      <w:t xml:space="preserve">0</w:t>
    </w:r>
    <w:r>
      <w:rPr>
        <w:lang w:val="en-US" w:eastAsia="en-US"/>
      </w:rPr>
      <w:fldChar w:fldCharType="end"/>
    </w:r>
    <w:r>
      <w:rPr>
        <w:lang w:val="en-US" w:eastAsia="en-US"/>
      </w:rPr>
    </w:r>
    <w:r>
      <w:rPr>
        <w:lang w:val="en-US" w:eastAsia="en-US"/>
      </w:rPr>
    </w:r>
  </w:p>
  <w:p>
    <w:pPr>
      <w:pStyle w:val="767"/>
      <w:pBdr/>
      <w:tabs>
        <w:tab w:val="clear" w:leader="none" w:pos="708"/>
        <w:tab w:val="center" w:leader="none" w:pos="4677"/>
        <w:tab w:val="right" w:leader="none" w:pos="9355"/>
      </w:tabs>
      <w:spacing/>
      <w:ind/>
      <w:rPr>
        <w:lang w:val="ru-RU" w:eastAsia="en-US"/>
      </w:rPr>
    </w:pPr>
    <w:r>
      <w:rPr>
        <w:lang w:eastAsia="en-US"/>
      </w:rPr>
      <w:t xml:space="preserve">Заказчик_______________</w:t>
      <w:tab/>
      <w:t xml:space="preserve">                                                        </w:t>
    </w:r>
    <w:r>
      <w:rPr>
        <w:lang w:val="en-US" w:eastAsia="en-US"/>
      </w:rPr>
      <w:t xml:space="preserve">    </w:t>
    </w:r>
    <w:r>
      <w:rPr>
        <w:lang w:val="ru-RU" w:eastAsia="en-US"/>
      </w:rPr>
      <w:t xml:space="preserve">Исполнитель</w:t>
    </w:r>
    <w:r>
      <w:rPr>
        <w:lang w:eastAsia="en-US"/>
      </w:rPr>
      <w:t xml:space="preserve">________________</w:t>
    </w:r>
    <w:r>
      <w:rPr>
        <w:lang w:val="ru-RU" w:eastAsia="en-US"/>
      </w:rPr>
    </w:r>
    <w:r>
      <w:rPr>
        <w:lang w:val="ru-RU" w:eastAsia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pBdr/>
        <w:spacing/>
        <w:ind/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  <w:footnote w:id="2">
    <w:p>
      <w:pPr>
        <w:pStyle w:val="859"/>
        <w:pBdr/>
        <w:spacing/>
        <w:ind/>
        <w:jc w:val="both"/>
        <w:rPr>
          <w:lang w:val="ru-RU"/>
        </w:rPr>
      </w:pPr>
      <w:r>
        <w:rPr>
          <w:rStyle w:val="801"/>
        </w:rPr>
        <w:footnoteRef/>
      </w:r>
      <w:r>
        <w:rPr>
          <w:lang w:val="ru-RU"/>
        </w:rPr>
      </w:r>
      <w:r>
        <w:rPr>
          <w:lang w:val="ru-RU"/>
        </w:rPr>
      </w:r>
    </w:p>
  </w:footnote>
  <w:footnote w:id="3">
    <w:p>
      <w:pPr>
        <w:pStyle w:val="844"/>
        <w:pBdr/>
        <w:spacing/>
        <w:ind/>
        <w:rPr/>
      </w:pPr>
      <w:r>
        <w:rPr>
          <w:rStyle w:val="801"/>
        </w:rPr>
        <w:footnoteRef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1135"/>
        </w:tabs>
        <w:spacing/>
        <w:ind w:hanging="567" w:left="1135"/>
      </w:pPr>
      <w:pStyle w:val="768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0"/>
        <w:u w:val="none"/>
        <w:vertAlign w:val="baseline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tabs>
          <w:tab w:val="num" w:leader="none" w:pos="1702"/>
        </w:tabs>
        <w:spacing/>
        <w:ind w:hanging="1134" w:left="1702"/>
      </w:pPr>
      <w:pStyle w:val="849"/>
      <w:rPr>
        <w:rFonts w:cs="Times New Roman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tabs>
          <w:tab w:val="num" w:leader="none" w:pos="1702"/>
        </w:tabs>
        <w:spacing/>
        <w:ind w:hanging="1134" w:left="1702"/>
      </w:pPr>
      <w:pStyle w:val="854"/>
      <w:rPr>
        <w:b w:val="0"/>
        <w:bCs w:val="0"/>
        <w:i w:val="0"/>
        <w:iCs w:val="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tabs>
          <w:tab w:val="num" w:leader="none" w:pos="6922"/>
        </w:tabs>
        <w:spacing/>
        <w:ind w:hanging="1134" w:left="6922"/>
      </w:pPr>
      <w:pStyle w:val="855"/>
      <w:rPr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0"/>
        <w:u w:val="none"/>
        <w:vertAlign w:val="baseline"/>
      </w:rPr>
      <w:start w:val="1"/>
      <w:suff w:val="tab"/>
    </w:lvl>
    <w:lvl w:ilvl="4">
      <w:isLgl w:val="false"/>
      <w:lvlJc w:val="left"/>
      <w:lvlText w:val="%5)"/>
      <w:numFmt w:val="decimal"/>
      <w:pPr>
        <w:pBdr/>
        <w:tabs>
          <w:tab w:val="num" w:leader="none" w:pos="2099"/>
        </w:tabs>
        <w:spacing/>
        <w:ind w:hanging="397" w:left="2099"/>
      </w:pPr>
      <w:pStyle w:val="856"/>
      <w:rPr>
        <w:b w:val="0"/>
        <w:bCs w:val="0"/>
        <w:i w:val="0"/>
        <w:iCs w:val="0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2836"/>
        </w:tabs>
        <w:spacing/>
        <w:ind w:hanging="567" w:left="2836"/>
      </w:pPr>
      <w:rPr>
        <w:rFonts w:hint="default" w:ascii="Symbol" w:hAnsi="Symbol" w:cs="Symbol"/>
      </w:rPr>
      <w:start w:val="1"/>
      <w:suff w:val="tab"/>
    </w:lvl>
    <w:lvl w:ilvl="6">
      <w:isLgl w:val="false"/>
      <w:lvlJc w:val="left"/>
      <w:lvlText w:val="%5%6%7)"/>
      <w:numFmt w:val="lowerLetter"/>
      <w:pPr>
        <w:pBdr/>
        <w:tabs>
          <w:tab w:val="num" w:leader="none" w:pos="3403"/>
        </w:tabs>
        <w:spacing/>
        <w:ind w:hanging="567" w:left="3403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113"/>
        </w:tabs>
        <w:spacing/>
        <w:ind w:hanging="1224" w:left="3457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833"/>
        </w:tabs>
        <w:spacing/>
        <w:ind w:hanging="1440" w:left="4033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4260"/>
      </w:pPr>
      <w:rPr>
        <w:sz w:val="20"/>
        <w:lang w:val="en-GB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781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2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287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00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727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447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16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887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607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32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047"/>
      </w:pPr>
      <w:rPr>
        <w:rFonts w:hint="default" w:ascii="Wingdings" w:hAnsi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Статья %1."/>
      <w:numFmt w:val="decimal"/>
      <w:pPr>
        <w:pBdr/>
        <w:tabs>
          <w:tab w:val="num" w:leader="none" w:pos="720"/>
        </w:tabs>
        <w:spacing/>
        <w:ind w:hanging="360" w:left="720"/>
      </w:pPr>
      <w:pStyle w:val="875"/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725"/>
        </w:tabs>
        <w:spacing/>
        <w:ind w:hanging="1185" w:left="1725"/>
      </w:pPr>
      <w:pStyle w:val="876"/>
      <w:rPr>
        <w:b w:val="0"/>
        <w:sz w:val="24"/>
        <w:szCs w:val="24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085"/>
        </w:tabs>
        <w:spacing/>
        <w:ind w:hanging="1185" w:left="2085"/>
      </w:pPr>
      <w:pStyle w:val="877"/>
      <w:rPr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625"/>
        </w:tabs>
        <w:spacing/>
        <w:ind w:hanging="1185" w:left="262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985"/>
        </w:tabs>
        <w:spacing/>
        <w:ind w:hanging="1185" w:left="298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345"/>
        </w:tabs>
        <w:spacing/>
        <w:ind w:hanging="1185" w:left="3345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432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040"/>
        </w:tabs>
        <w:spacing/>
        <w:ind w:hanging="1800" w:left="5040"/>
      </w:pPr>
      <w:rPr/>
      <w:start w:val="1"/>
      <w:suff w:val="tab"/>
    </w:lvl>
  </w:abstractNum>
  <w:abstractNum w:abstractNumId="4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6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7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8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>
        <w:b/>
        <w:sz w:val="20"/>
      </w:rPr>
      <w:start w:val="6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360" w:left="1500"/>
      </w:pPr>
      <w:rPr>
        <w:b w:val="0"/>
        <w:sz w:val="20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30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41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56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67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828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94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10920"/>
      </w:pPr>
      <w:rPr/>
      <w:start w:val="1"/>
      <w:suff w:val="tab"/>
    </w:lvl>
  </w:abstractNum>
  <w:abstractNum w:abstractNumId="1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540" w:left="54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540" w:left="1036"/>
      </w:pPr>
      <w:rPr/>
      <w:start w:val="2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430"/>
      </w:pPr>
      <w:rPr>
        <w:sz w:val="20"/>
      </w:rPr>
      <w:start w:val="2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208"/>
      </w:pPr>
      <w:rPr>
        <w:sz w:val="20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306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5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4416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912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768"/>
      </w:pPr>
      <w:rPr/>
      <w:start w:val="1"/>
      <w:suff w:val="tab"/>
    </w:lvl>
  </w:abstractNum>
  <w:abstractNum w:abstractNumId="11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540" w:left="54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540" w:left="1036"/>
      </w:pPr>
      <w:rPr/>
      <w:start w:val="2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712"/>
      </w:pPr>
      <w:rPr/>
      <w:start w:val="2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20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306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5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4416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912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768"/>
      </w:pPr>
      <w:rPr/>
      <w:start w:val="1"/>
      <w:suff w:val="tab"/>
    </w:lvl>
  </w:abstractNum>
  <w:abstractNum w:abstractNumId="12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540" w:left="54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540" w:left="1036"/>
      </w:pPr>
      <w:rPr/>
      <w:start w:val="2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712"/>
      </w:pPr>
      <w:rPr/>
      <w:start w:val="2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20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306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5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4416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912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768"/>
      </w:pPr>
      <w:rPr/>
      <w:start w:val="1"/>
      <w:suff w:val="tab"/>
    </w:lvl>
  </w:abstractNum>
  <w:abstractNum w:abstractNumId="1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540" w:left="540"/>
      </w:pPr>
      <w:rPr/>
      <w:start w:val="5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540" w:left="1108"/>
      </w:pPr>
      <w:rPr>
        <w:sz w:val="20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430"/>
      </w:pPr>
      <w:rPr>
        <w:lang w:val="ru-RU"/>
      </w:rPr>
      <w:start w:val="2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20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306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5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4416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912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768"/>
      </w:pPr>
      <w:rPr/>
      <w:start w:val="1"/>
      <w:suff w:val="tab"/>
    </w:lvl>
  </w:abstractNum>
  <w:abstractNum w:abstractNumId="14">
    <w:lvl w:ilvl="0">
      <w:isLgl w:val="false"/>
      <w:lvlJc w:val="left"/>
      <w:lvlText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Times New Roman" w:hAnsi="Times New Roman" w:cs="Times New Roman"/>
        <w:color w:val="000000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502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53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25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97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69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41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13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85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570"/>
      </w:pPr>
      <w:rPr/>
      <w:start w:val="1"/>
      <w:suff w:val="tab"/>
    </w:lvl>
  </w:abstractNum>
  <w:abstractNum w:abstractNumId="16">
    <w:lvl w:ilvl="0">
      <w:isLgl w:val="false"/>
      <w:lvlJc w:val="left"/>
      <w:lvlText w:val="-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2"/>
        <w:szCs w:val="22"/>
        <w:u w:val="none"/>
        <w:lang w:val="ru-RU" w:eastAsia="ru-RU" w:bidi="ru-RU"/>
      </w:rPr>
      <w:start w:val="1"/>
      <w:suff w:val="tab"/>
    </w:lvl>
    <w:lvl w:ilvl="1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  <w:lvl w:ilvl="2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  <w:lvl w:ilvl="3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  <w:lvl w:ilvl="4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  <w:lvl w:ilvl="5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  <w:lvl w:ilvl="6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  <w:lvl w:ilvl="7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  <w:lvl w:ilvl="8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</w:abstractNum>
  <w:abstractNum w:abstractNumId="17">
    <w:lvl w:ilvl="0">
      <w:isLgl w:val="false"/>
      <w:lvlJc w:val="left"/>
      <w:lvlText w:val="-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2"/>
        <w:szCs w:val="22"/>
        <w:u w:val="none"/>
        <w:lang w:val="ru-RU" w:eastAsia="ru-RU" w:bidi="ru-RU"/>
      </w:rPr>
      <w:start w:val="1"/>
      <w:suff w:val="tab"/>
    </w:lvl>
    <w:lvl w:ilvl="1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  <w:lvl w:ilvl="2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  <w:lvl w:ilvl="3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  <w:lvl w:ilvl="4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  <w:lvl w:ilvl="5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  <w:lvl w:ilvl="6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  <w:lvl w:ilvl="7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  <w:lvl w:ilvl="8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0"/>
      <w:suff w:val="tab"/>
    </w:lvl>
  </w:abstractNum>
  <w:abstractNum w:abstractNumId="18">
    <w:lvl w:ilvl="0">
      <w:isLgl w:val="false"/>
      <w:lvlJc w:val="left"/>
      <w:lvlText w:val="–"/>
      <w:numFmt w:val="bullet"/>
      <w:pPr>
        <w:pBdr/>
        <w:tabs>
          <w:tab w:val="num" w:leader="none" w:pos="0"/>
        </w:tabs>
        <w:spacing/>
        <w:ind w:hanging="360" w:left="1276"/>
      </w:pPr>
      <w:rPr>
        <w:rFonts w:hint="default" w:ascii="Arial" w:hAnsi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99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2716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tabs>
          <w:tab w:val="num" w:leader="none" w:pos="0"/>
        </w:tabs>
        <w:spacing/>
        <w:ind w:hanging="360" w:left="3436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15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4876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tabs>
          <w:tab w:val="num" w:leader="none" w:pos="0"/>
        </w:tabs>
        <w:spacing/>
        <w:ind w:hanging="360" w:left="5596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31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7036"/>
      </w:pPr>
      <w:rPr>
        <w:rFonts w:hint="default" w:ascii="Wingdings" w:hAnsi="Wingdings" w:cs="Wingdings"/>
      </w:rPr>
      <w:start w:val="1"/>
      <w:suff w:val="tab"/>
    </w:lvl>
  </w:abstractNum>
  <w:abstractNum w:abstractNumId="19">
    <w:lvl w:ilvl="0">
      <w:isLgl w:val="false"/>
      <w:lvlJc w:val="left"/>
      <w:lvlText w:val="–"/>
      <w:numFmt w:val="bullet"/>
      <w:pPr>
        <w:pBdr/>
        <w:tabs>
          <w:tab w:val="num" w:leader="none" w:pos="0"/>
        </w:tabs>
        <w:spacing/>
        <w:ind w:hanging="360" w:left="709"/>
      </w:pPr>
      <w:rPr>
        <w:rFonts w:hint="default" w:ascii="Arial" w:hAnsi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Wingdings" w:hAnsi="Wingdings" w:cs="Wingdings"/>
      </w:rPr>
      <w:start w:val="1"/>
      <w:suff w:val="tab"/>
    </w:lvl>
  </w:abstractNum>
  <w:abstractNum w:abstractNumId="20">
    <w:lvl w:ilvl="0">
      <w:isLgl w:val="false"/>
      <w:lvlJc w:val="left"/>
      <w:lvlText w:val="–"/>
      <w:numFmt w:val="bullet"/>
      <w:pPr>
        <w:pBdr/>
        <w:tabs>
          <w:tab w:val="num" w:leader="none" w:pos="0"/>
        </w:tabs>
        <w:spacing/>
        <w:ind w:hanging="360" w:left="709"/>
      </w:pPr>
      <w:rPr>
        <w:rFonts w:hint="default" w:ascii="Arial" w:hAnsi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Wingdings" w:hAnsi="Wingdings" w:cs="Wingdings"/>
      </w:rPr>
      <w:start w:val="1"/>
      <w:suff w:val="tab"/>
    </w:lvl>
  </w:abstractNum>
  <w:abstractNum w:abstractNumId="21">
    <w:lvl w:ilvl="0">
      <w:isLgl w:val="false"/>
      <w:lvlJc w:val="left"/>
      <w:lvlText w:val="–"/>
      <w:numFmt w:val="bullet"/>
      <w:pPr>
        <w:pBdr/>
        <w:tabs>
          <w:tab w:val="num" w:leader="none" w:pos="0"/>
        </w:tabs>
        <w:spacing/>
        <w:ind w:hanging="360" w:left="709"/>
      </w:pPr>
      <w:rPr>
        <w:rFonts w:hint="default" w:ascii="Arial" w:hAnsi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Wingdings" w:hAnsi="Wingdings" w:cs="Wingdings"/>
      </w:rPr>
      <w:start w:val="1"/>
      <w:suff w:val="tab"/>
    </w:lvl>
  </w:abstractNum>
  <w:abstractNum w:abstractNumId="22">
    <w:lvl w:ilvl="0">
      <w:isLgl w:val="false"/>
      <w:lvlJc w:val="left"/>
      <w:lvlText w:val="–"/>
      <w:numFmt w:val="bullet"/>
      <w:pPr>
        <w:pBdr/>
        <w:tabs>
          <w:tab w:val="num" w:leader="none" w:pos="0"/>
        </w:tabs>
        <w:spacing/>
        <w:ind w:hanging="360" w:left="709"/>
      </w:pPr>
      <w:rPr>
        <w:rFonts w:hint="default" w:ascii="Arial" w:hAnsi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Wingdings" w:hAnsi="Wingdings" w:cs="Wingdings"/>
      </w:rPr>
      <w:start w:val="1"/>
      <w:suff w:val="tab"/>
    </w:lvl>
  </w:abstractNum>
  <w:abstractNum w:abstractNumId="23">
    <w:lvl w:ilvl="0">
      <w:isLgl w:val="false"/>
      <w:lvlJc w:val="left"/>
      <w:lvlText w:val="–"/>
      <w:numFmt w:val="bullet"/>
      <w:pPr>
        <w:pBdr/>
        <w:tabs>
          <w:tab w:val="num" w:leader="none" w:pos="0"/>
        </w:tabs>
        <w:spacing/>
        <w:ind w:hanging="360" w:left="709"/>
      </w:pPr>
      <w:rPr>
        <w:rFonts w:hint="default" w:ascii="Arial" w:hAnsi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Wingdings" w:hAnsi="Wingdings" w:cs="Wingdings"/>
      </w:rPr>
      <w:start w:val="1"/>
      <w:suff w:val="tab"/>
    </w:lvl>
  </w:abstractNum>
  <w:abstractNum w:abstractNumId="24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25">
    <w:lvl w:ilvl="0">
      <w:isLgl w:val="false"/>
      <w:lvlJc w:val="left"/>
      <w:lvlText/>
      <w:numFmt w:val="bullet"/>
      <w:pPr>
        <w:pBdr/>
        <w:tabs>
          <w:tab w:val="num" w:leader="none" w:pos="0"/>
        </w:tabs>
        <w:spacing/>
        <w:ind w:hanging="360" w:left="1429"/>
      </w:pPr>
      <w:rPr>
        <w:rFonts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ascii="Wingdings" w:hAnsi="Wingdings" w:cs="Wingdings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7" w:default="1">
    <w:name w:val="Normal"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Tahoma" w:cs="Lohit Devanagari"/>
      <w:color w:val="auto"/>
      <w:sz w:val="24"/>
      <w:szCs w:val="24"/>
      <w:lang w:val="en-GB" w:eastAsia="ru-RU" w:bidi="ar-SA"/>
    </w:rPr>
  </w:style>
  <w:style w:type="paragraph" w:styleId="768">
    <w:name w:val="Heading 1"/>
    <w:basedOn w:val="767"/>
    <w:next w:val="767"/>
    <w:link w:val="778"/>
    <w:qFormat/>
    <w:pPr>
      <w:keepNext w:val="true"/>
      <w:keepLines w:val="true"/>
      <w:pageBreakBefore w:val="true"/>
      <w:numPr>
        <w:ilvl w:val="0"/>
        <w:numId w:val="1"/>
      </w:numPr>
      <w:pBdr/>
      <w:spacing w:after="240" w:before="480"/>
      <w:ind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769">
    <w:name w:val="Heading 2"/>
    <w:basedOn w:val="767"/>
    <w:next w:val="767"/>
    <w:link w:val="77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770">
    <w:name w:val="Heading 3"/>
    <w:basedOn w:val="767"/>
    <w:next w:val="767"/>
    <w:link w:val="811"/>
    <w:qFormat/>
    <w:pPr>
      <w:keepNext w:val="true"/>
      <w:keepLines w:val="true"/>
      <w:pBdr/>
      <w:spacing w:after="0" w:before="200"/>
      <w:ind/>
      <w:outlineLvl w:val="2"/>
    </w:pPr>
    <w:rPr>
      <w:rFonts w:ascii="Cambria" w:hAnsi="Cambria"/>
      <w:b/>
      <w:bCs/>
      <w:color w:val="4f81bd"/>
      <w:lang w:eastAsia="en-US"/>
    </w:rPr>
  </w:style>
  <w:style w:type="paragraph" w:styleId="771">
    <w:name w:val="Heading 4"/>
    <w:basedOn w:val="767"/>
    <w:next w:val="767"/>
    <w:link w:val="78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772">
    <w:name w:val="Heading 5"/>
    <w:basedOn w:val="767"/>
    <w:next w:val="767"/>
    <w:link w:val="78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773">
    <w:name w:val="Heading 6"/>
    <w:basedOn w:val="767"/>
    <w:next w:val="767"/>
    <w:link w:val="78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74">
    <w:name w:val="Heading 7"/>
    <w:basedOn w:val="767"/>
    <w:next w:val="767"/>
    <w:link w:val="78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75">
    <w:name w:val="Heading 8"/>
    <w:basedOn w:val="767"/>
    <w:next w:val="767"/>
    <w:link w:val="785"/>
    <w:uiPriority w:val="9"/>
    <w:unhideWhenUsed/>
    <w:qFormat/>
    <w:pPr>
      <w:keepNext w:val="true"/>
      <w:keepLines w:val="true"/>
      <w:pBdr/>
      <w:spacing w:after="0" w:before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76">
    <w:name w:val="Heading 9"/>
    <w:basedOn w:val="767"/>
    <w:next w:val="767"/>
    <w:link w:val="786"/>
    <w:uiPriority w:val="9"/>
    <w:unhideWhenUsed/>
    <w:qFormat/>
    <w:pPr>
      <w:keepNext w:val="true"/>
      <w:keepLines w:val="true"/>
      <w:pBdr/>
      <w:spacing w:after="0" w:before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77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78">
    <w:name w:val="Heading 1 Char"/>
    <w:basedOn w:val="777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79">
    <w:name w:val="Heading 2 Char"/>
    <w:basedOn w:val="777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80">
    <w:name w:val="Heading 3 Char"/>
    <w:basedOn w:val="777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81">
    <w:name w:val="Heading 4 Char"/>
    <w:basedOn w:val="777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82">
    <w:name w:val="Heading 5 Char"/>
    <w:basedOn w:val="777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83">
    <w:name w:val="Heading 6 Char"/>
    <w:basedOn w:val="777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84">
    <w:name w:val="Heading 7 Char"/>
    <w:basedOn w:val="777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85">
    <w:name w:val="Heading 8 Char"/>
    <w:basedOn w:val="777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86">
    <w:name w:val="Heading 9 Char"/>
    <w:basedOn w:val="777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87">
    <w:name w:val="Title Char"/>
    <w:basedOn w:val="777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88">
    <w:name w:val="Subtitle Char"/>
    <w:basedOn w:val="777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89">
    <w:name w:val="Quote Char"/>
    <w:basedOn w:val="777"/>
    <w:link w:val="837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90">
    <w:name w:val="Intense Emphasis"/>
    <w:basedOn w:val="77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91">
    <w:name w:val="Intense Quote Char"/>
    <w:basedOn w:val="777"/>
    <w:link w:val="839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92">
    <w:name w:val="Intense Reference"/>
    <w:basedOn w:val="77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93">
    <w:name w:val="Subtle Emphasis"/>
    <w:basedOn w:val="77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94">
    <w:name w:val="Emphasis"/>
    <w:basedOn w:val="777"/>
    <w:uiPriority w:val="20"/>
    <w:qFormat/>
    <w:pPr>
      <w:pBdr/>
      <w:spacing/>
      <w:ind/>
    </w:pPr>
    <w:rPr>
      <w:i/>
      <w:iCs/>
    </w:rPr>
  </w:style>
  <w:style w:type="character" w:styleId="795">
    <w:name w:val="Strong"/>
    <w:basedOn w:val="777"/>
    <w:uiPriority w:val="22"/>
    <w:qFormat/>
    <w:pPr>
      <w:pBdr/>
      <w:spacing/>
      <w:ind/>
    </w:pPr>
    <w:rPr>
      <w:b/>
      <w:bCs/>
    </w:rPr>
  </w:style>
  <w:style w:type="character" w:styleId="796">
    <w:name w:val="Subtle Reference"/>
    <w:basedOn w:val="77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97">
    <w:name w:val="Book Title"/>
    <w:basedOn w:val="77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98">
    <w:name w:val="Header Char"/>
    <w:basedOn w:val="777"/>
    <w:uiPriority w:val="99"/>
    <w:qFormat/>
    <w:pPr>
      <w:pBdr/>
      <w:spacing/>
      <w:ind/>
    </w:pPr>
  </w:style>
  <w:style w:type="character" w:styleId="799">
    <w:name w:val="Footer Char"/>
    <w:basedOn w:val="777"/>
    <w:uiPriority w:val="99"/>
    <w:qFormat/>
    <w:pPr>
      <w:pBdr/>
      <w:spacing/>
      <w:ind/>
    </w:pPr>
  </w:style>
  <w:style w:type="character" w:styleId="800">
    <w:name w:val="Footnote Text Char"/>
    <w:basedOn w:val="777"/>
    <w:uiPriority w:val="99"/>
    <w:semiHidden/>
    <w:qFormat/>
    <w:pPr>
      <w:pBdr/>
      <w:spacing/>
      <w:ind/>
    </w:pPr>
    <w:rPr>
      <w:sz w:val="20"/>
      <w:szCs w:val="20"/>
    </w:rPr>
  </w:style>
  <w:style w:type="character" w:styleId="801" w:customStyle="1">
    <w:name w:val="Символ сноски"/>
    <w:qFormat/>
    <w:pPr>
      <w:pBdr/>
      <w:spacing/>
      <w:ind/>
    </w:pPr>
    <w:rPr>
      <w:vertAlign w:val="superscript"/>
    </w:rPr>
  </w:style>
  <w:style w:type="character" w:styleId="802">
    <w:name w:val="footnote reference"/>
    <w:pPr>
      <w:pBdr/>
      <w:spacing/>
      <w:ind/>
    </w:pPr>
    <w:rPr>
      <w:vertAlign w:val="superscript"/>
    </w:rPr>
  </w:style>
  <w:style w:type="character" w:styleId="803">
    <w:name w:val="Endnote Text Char"/>
    <w:basedOn w:val="777"/>
    <w:uiPriority w:val="99"/>
    <w:semiHidden/>
    <w:qFormat/>
    <w:pPr>
      <w:pBdr/>
      <w:spacing/>
      <w:ind/>
    </w:pPr>
    <w:rPr>
      <w:sz w:val="20"/>
      <w:szCs w:val="20"/>
    </w:rPr>
  </w:style>
  <w:style w:type="character" w:styleId="804">
    <w:name w:val="Символ концевой сноски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805">
    <w:name w:val="endnote reference"/>
    <w:pPr>
      <w:pBdr/>
      <w:spacing/>
      <w:ind/>
    </w:pPr>
    <w:rPr>
      <w:vertAlign w:val="superscript"/>
    </w:rPr>
  </w:style>
  <w:style w:type="character" w:styleId="806">
    <w:name w:val="Hyperlink"/>
    <w:basedOn w:val="77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07">
    <w:name w:val="FollowedHyperlink"/>
    <w:basedOn w:val="77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808">
    <w:name w:val="Основной шрифт абзаца"/>
    <w:uiPriority w:val="1"/>
    <w:unhideWhenUsed/>
    <w:qFormat/>
    <w:pPr>
      <w:pBdr/>
      <w:spacing/>
      <w:ind/>
    </w:pPr>
  </w:style>
  <w:style w:type="character" w:styleId="809">
    <w:name w:val="Знак сноски"/>
    <w:qFormat/>
    <w:pPr>
      <w:pBdr/>
      <w:spacing/>
      <w:ind/>
    </w:pPr>
    <w:rPr>
      <w:vertAlign w:val="superscript"/>
    </w:rPr>
  </w:style>
  <w:style w:type="character" w:styleId="810">
    <w:name w:val="Основной текст 3 Знак"/>
    <w:link w:val="862"/>
    <w:qFormat/>
    <w:pPr>
      <w:pBdr/>
      <w:spacing/>
      <w:ind/>
    </w:pPr>
    <w:rPr>
      <w:sz w:val="16"/>
      <w:szCs w:val="16"/>
      <w:lang w:val="en-GB"/>
    </w:rPr>
  </w:style>
  <w:style w:type="character" w:styleId="811">
    <w:name w:val="Заголовок 3 Знак"/>
    <w:semiHidden/>
    <w:qFormat/>
    <w:pPr>
      <w:pBdr/>
      <w:spacing/>
      <w:ind/>
    </w:pPr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character" w:styleId="812">
    <w:name w:val="Знак примечания"/>
    <w:qFormat/>
    <w:pPr>
      <w:pBdr/>
      <w:spacing/>
      <w:ind/>
    </w:pPr>
    <w:rPr>
      <w:sz w:val="16"/>
      <w:szCs w:val="16"/>
    </w:rPr>
  </w:style>
  <w:style w:type="character" w:styleId="813">
    <w:name w:val="Текст примечания Знак"/>
    <w:link w:val="866"/>
    <w:uiPriority w:val="99"/>
    <w:qFormat/>
    <w:pPr>
      <w:pBdr/>
      <w:spacing/>
      <w:ind/>
    </w:pPr>
    <w:rPr>
      <w:lang w:val="en-GB"/>
    </w:rPr>
  </w:style>
  <w:style w:type="character" w:styleId="814">
    <w:name w:val="Тема примечания Знак"/>
    <w:link w:val="867"/>
    <w:qFormat/>
    <w:pPr>
      <w:pBdr/>
      <w:spacing/>
      <w:ind/>
    </w:pPr>
    <w:rPr>
      <w:b/>
      <w:bCs/>
      <w:lang w:val="en-GB"/>
    </w:rPr>
  </w:style>
  <w:style w:type="character" w:styleId="815">
    <w:name w:val="Основной текст с отступом 3 Знак"/>
    <w:link w:val="868"/>
    <w:qFormat/>
    <w:pPr>
      <w:pBdr/>
      <w:spacing/>
      <w:ind/>
    </w:pPr>
    <w:rPr>
      <w:sz w:val="16"/>
      <w:szCs w:val="16"/>
    </w:rPr>
  </w:style>
  <w:style w:type="character" w:styleId="816">
    <w:name w:val="Основной текст Знак"/>
    <w:qFormat/>
    <w:pPr>
      <w:pBdr/>
      <w:spacing/>
      <w:ind/>
    </w:pPr>
    <w:rPr>
      <w:sz w:val="28"/>
      <w:szCs w:val="28"/>
    </w:rPr>
  </w:style>
  <w:style w:type="character" w:styleId="817">
    <w:name w:val="Название Знак"/>
    <w:qFormat/>
    <w:pPr>
      <w:pBdr/>
      <w:spacing/>
      <w:ind/>
    </w:pPr>
    <w:rPr>
      <w:b/>
      <w:bCs/>
      <w:sz w:val="24"/>
      <w:szCs w:val="24"/>
    </w:rPr>
  </w:style>
  <w:style w:type="character" w:styleId="818">
    <w:name w:val="Верхний колонтитул Знак"/>
    <w:uiPriority w:val="99"/>
    <w:qFormat/>
    <w:pPr>
      <w:pBdr/>
      <w:spacing/>
      <w:ind/>
    </w:pPr>
    <w:rPr>
      <w:sz w:val="24"/>
      <w:szCs w:val="24"/>
      <w:lang w:val="en-GB"/>
    </w:rPr>
  </w:style>
  <w:style w:type="character" w:styleId="819">
    <w:name w:val="Нижний колонтитул Знак"/>
    <w:uiPriority w:val="99"/>
    <w:qFormat/>
    <w:pPr>
      <w:pBdr/>
      <w:spacing/>
      <w:ind/>
    </w:pPr>
    <w:rPr>
      <w:sz w:val="24"/>
      <w:szCs w:val="24"/>
      <w:lang w:val="en-GB"/>
    </w:rPr>
  </w:style>
  <w:style w:type="character" w:styleId="820">
    <w:name w:val="Основной текст 2 Знак"/>
    <w:link w:val="871"/>
    <w:qFormat/>
    <w:pPr>
      <w:pBdr/>
      <w:spacing/>
      <w:ind/>
    </w:pPr>
    <w:rPr>
      <w:sz w:val="24"/>
      <w:szCs w:val="24"/>
    </w:rPr>
  </w:style>
  <w:style w:type="character" w:styleId="821">
    <w:name w:val="Основной текст с отступом Знак"/>
    <w:qFormat/>
    <w:pPr>
      <w:pBdr/>
      <w:spacing/>
      <w:ind/>
    </w:pPr>
    <w:rPr>
      <w:sz w:val="24"/>
      <w:szCs w:val="24"/>
    </w:rPr>
  </w:style>
  <w:style w:type="character" w:styleId="822">
    <w:name w:val="Строгий"/>
    <w:qFormat/>
    <w:pPr>
      <w:pBdr/>
      <w:spacing/>
      <w:ind/>
    </w:pPr>
    <w:rPr>
      <w:b/>
      <w:bCs/>
    </w:rPr>
  </w:style>
  <w:style w:type="character" w:styleId="823">
    <w:name w:val="Текст сноски Знак"/>
    <w:link w:val="859"/>
    <w:uiPriority w:val="99"/>
    <w:qFormat/>
    <w:pPr>
      <w:pBdr/>
      <w:spacing/>
      <w:ind/>
    </w:pPr>
    <w:rPr>
      <w:lang w:val="en-GB"/>
    </w:rPr>
  </w:style>
  <w:style w:type="character" w:styleId="824">
    <w:name w:val="Гиперссылка"/>
    <w:uiPriority w:val="99"/>
    <w:unhideWhenUsed/>
    <w:qFormat/>
    <w:pPr>
      <w:pBdr/>
      <w:spacing/>
      <w:ind/>
    </w:pPr>
    <w:rPr>
      <w:color w:val="0000ff"/>
      <w:u w:val="single"/>
    </w:rPr>
  </w:style>
  <w:style w:type="character" w:styleId="825">
    <w:name w:val="Просмотренная гиперссылка"/>
    <w:qFormat/>
    <w:pPr>
      <w:pBdr/>
      <w:spacing/>
      <w:ind/>
    </w:pPr>
    <w:rPr>
      <w:color w:val="800080"/>
      <w:u w:val="single"/>
    </w:rPr>
  </w:style>
  <w:style w:type="character" w:styleId="826">
    <w:name w:val="3. Подпункт Знак"/>
    <w:link w:val="877"/>
    <w:qFormat/>
    <w:pPr>
      <w:pBdr/>
      <w:spacing/>
      <w:ind/>
    </w:pPr>
    <w:rPr>
      <w:b/>
      <w:bCs/>
      <w:sz w:val="24"/>
      <w:szCs w:val="24"/>
      <w:lang w:val="en-US" w:eastAsia="en-US"/>
    </w:rPr>
  </w:style>
  <w:style w:type="character" w:styleId="827">
    <w:name w:val="Абзац списка Знак,Table-Normal Знак,RSHB_Table-Normal Знак,Заголовок_3 Знак,Подпись рисунка Знак,асз.Списка Знак,Bullet 1 Знак,Use Case List Paragraph Знак,List Paragraph Знак,Bullet List Знак,FooterText Знак,numbered Знак,Paragraphe de liste1 Знак"/>
    <w:link w:val="865"/>
    <w:uiPriority w:val="34"/>
    <w:qFormat/>
    <w:pPr>
      <w:pBdr/>
      <w:spacing/>
      <w:ind/>
    </w:pPr>
    <w:rPr>
      <w:sz w:val="24"/>
      <w:szCs w:val="24"/>
    </w:rPr>
  </w:style>
  <w:style w:type="character" w:styleId="828">
    <w:name w:val="Основной текст (2)_"/>
    <w:link w:val="879"/>
    <w:qFormat/>
    <w:pPr>
      <w:pBdr/>
      <w:spacing/>
      <w:ind/>
    </w:pPr>
    <w:rPr>
      <w:b/>
      <w:bCs/>
      <w:shd w:val="clear" w:color="auto" w:fill="ffffff"/>
    </w:rPr>
  </w:style>
  <w:style w:type="character" w:styleId="829">
    <w:name w:val="Основной текст (2) + Не полужирный"/>
    <w:qFormat/>
    <w:pPr>
      <w:pBdr/>
      <w:spacing/>
      <w:ind/>
    </w:pPr>
    <w:rPr>
      <w:rFonts w:ascii="Times New Roman" w:hAnsi="Times New Roman" w:eastAsia="Times New Roman"/>
      <w:b/>
      <w:bCs/>
      <w:color w:val="000000"/>
      <w:spacing w:val="0"/>
      <w:shd w:val="clear" w:color="auto" w:fill="ffffff"/>
      <w:lang w:val="ru-RU" w:eastAsia="ru-RU" w:bidi="ru-RU"/>
    </w:rPr>
  </w:style>
  <w:style w:type="paragraph" w:styleId="830">
    <w:name w:val="Заголовок"/>
    <w:basedOn w:val="767"/>
    <w:next w:val="831"/>
    <w:qFormat/>
    <w:pPr>
      <w:keepNext w:val="true"/>
      <w:pBdr/>
      <w:spacing w:after="120" w:before="240"/>
      <w:ind/>
    </w:pPr>
    <w:rPr>
      <w:rFonts w:ascii="Liberation Sans" w:hAnsi="Liberation Sans" w:eastAsia="Tahoma" w:cs="Lohit Devanagari"/>
      <w:sz w:val="28"/>
      <w:szCs w:val="28"/>
    </w:rPr>
  </w:style>
  <w:style w:type="paragraph" w:styleId="831" w:customStyle="1">
    <w:name w:val="Body Text"/>
    <w:link w:val="816"/>
    <w:pPr>
      <w:keepNext w:val="false"/>
      <w:keepLines w:val="false"/>
      <w:pageBreakBefore w:val="false"/>
      <w:widowControl w:val="true"/>
      <w:pBdr/>
      <w:shd w:val="nil"/>
      <w:bidi w:val="false"/>
      <w:spacing w:after="120" w:afterAutospacing="0" w:before="0" w:beforeAutospacing="0" w:line="360" w:lineRule="auto"/>
      <w:ind w:right="0" w:firstLine="567" w:left="0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  <w:lang w:val="en-GB" w:eastAsia="ru-RU" w:bidi="ar-SA"/>
      <w14:ligatures w14:val="none"/>
    </w:rPr>
  </w:style>
  <w:style w:type="paragraph" w:styleId="832">
    <w:name w:val="List"/>
    <w:basedOn w:val="831"/>
    <w:pPr>
      <w:pBdr/>
      <w:spacing/>
      <w:ind/>
    </w:pPr>
    <w:rPr>
      <w:rFonts w:cs="Lohit Devanagari"/>
    </w:rPr>
  </w:style>
  <w:style w:type="paragraph" w:styleId="833">
    <w:name w:val="Caption"/>
    <w:basedOn w:val="767"/>
    <w:link w:val="817"/>
    <w:qFormat/>
    <w:pPr>
      <w:widowControl w:val="false"/>
      <w:pBdr/>
      <w:spacing/>
      <w:ind/>
      <w:jc w:val="center"/>
    </w:pPr>
    <w:rPr>
      <w:b/>
      <w:bCs/>
      <w:lang w:val="en-US" w:eastAsia="en-US"/>
    </w:rPr>
  </w:style>
  <w:style w:type="paragraph" w:styleId="834">
    <w:name w:val="Указатель"/>
    <w:basedOn w:val="767"/>
    <w:qFormat/>
    <w:pPr>
      <w:suppressLineNumbers w:val="true"/>
      <w:pBdr/>
      <w:spacing/>
      <w:ind/>
    </w:pPr>
    <w:rPr>
      <w:rFonts w:cs="Lohit Devanagari"/>
    </w:rPr>
  </w:style>
  <w:style w:type="paragraph" w:styleId="835">
    <w:name w:val="Title"/>
    <w:basedOn w:val="767"/>
    <w:link w:val="787"/>
    <w:uiPriority w:val="10"/>
    <w:qFormat/>
    <w:pPr>
      <w:widowControl w:val="false"/>
      <w:pBdr/>
      <w:spacing w:after="120" w:before="0"/>
      <w:ind/>
      <w:jc w:val="center"/>
    </w:pPr>
    <w:rPr>
      <w:b/>
      <w:bCs/>
      <w:sz w:val="32"/>
      <w:szCs w:val="20"/>
      <w:lang w:val="ru-RU"/>
    </w:rPr>
  </w:style>
  <w:style w:type="paragraph" w:styleId="836">
    <w:name w:val="Subtitle"/>
    <w:basedOn w:val="767"/>
    <w:next w:val="767"/>
    <w:link w:val="78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37">
    <w:name w:val="Quote"/>
    <w:basedOn w:val="767"/>
    <w:next w:val="767"/>
    <w:link w:val="789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838">
    <w:name w:val="List Paragraph"/>
    <w:basedOn w:val="767"/>
    <w:uiPriority w:val="34"/>
    <w:qFormat/>
    <w:pPr>
      <w:pBdr/>
      <w:spacing w:after="0" w:before="0"/>
      <w:ind w:firstLine="0" w:left="720"/>
      <w:contextualSpacing w:val="true"/>
    </w:pPr>
  </w:style>
  <w:style w:type="paragraph" w:styleId="839">
    <w:name w:val="Intense Quote"/>
    <w:basedOn w:val="767"/>
    <w:next w:val="767"/>
    <w:link w:val="791"/>
    <w:uiPriority w:val="30"/>
    <w:qFormat/>
    <w:pPr>
      <w:pBdr>
        <w:top w:val="single" w:color="0f4761" w:sz="4" w:space="10"/>
        <w:bottom w:val="single" w:color="0f4761" w:sz="4" w:space="10"/>
      </w:pBdr>
      <w:spacing w:after="360" w:before="360"/>
      <w:ind w:right="864" w:firstLine="0" w:left="864"/>
      <w:jc w:val="center"/>
    </w:pPr>
    <w:rPr>
      <w:i/>
      <w:iCs/>
      <w:color w:val="0f4761" w:themeColor="accent1" w:themeShade="BF"/>
    </w:rPr>
  </w:style>
  <w:style w:type="paragraph" w:styleId="840">
    <w:name w:val="No Spacing"/>
    <w:basedOn w:val="767"/>
    <w:uiPriority w:val="1"/>
    <w:qFormat/>
    <w:pPr>
      <w:pBdr/>
      <w:spacing w:after="0" w:before="0" w:line="240" w:lineRule="auto"/>
      <w:ind/>
    </w:pPr>
  </w:style>
  <w:style w:type="paragraph" w:styleId="841">
    <w:name w:val="Колонтитул"/>
    <w:basedOn w:val="767"/>
    <w:qFormat/>
    <w:pPr>
      <w:pBdr/>
      <w:spacing/>
      <w:ind/>
    </w:pPr>
  </w:style>
  <w:style w:type="paragraph" w:styleId="842">
    <w:name w:val="Header"/>
    <w:basedOn w:val="767"/>
    <w:link w:val="818"/>
    <w:uiPriority w:val="99"/>
    <w:pPr>
      <w:pBdr/>
      <w:tabs>
        <w:tab w:val="clear" w:leader="none" w:pos="708"/>
        <w:tab w:val="center" w:leader="none" w:pos="4677"/>
        <w:tab w:val="right" w:leader="none" w:pos="9355"/>
      </w:tabs>
      <w:spacing/>
      <w:ind/>
    </w:pPr>
    <w:rPr>
      <w:lang w:eastAsia="en-US"/>
    </w:rPr>
  </w:style>
  <w:style w:type="paragraph" w:styleId="843">
    <w:name w:val="Footer"/>
    <w:basedOn w:val="767"/>
    <w:link w:val="819"/>
    <w:uiPriority w:val="99"/>
    <w:pPr>
      <w:pBdr/>
      <w:tabs>
        <w:tab w:val="clear" w:leader="none" w:pos="708"/>
        <w:tab w:val="center" w:leader="none" w:pos="4677"/>
        <w:tab w:val="right" w:leader="none" w:pos="9355"/>
      </w:tabs>
      <w:spacing/>
      <w:ind/>
    </w:pPr>
    <w:rPr>
      <w:lang w:eastAsia="en-US"/>
    </w:rPr>
  </w:style>
  <w:style w:type="paragraph" w:styleId="844">
    <w:name w:val="footnote text"/>
    <w:basedOn w:val="767"/>
    <w:link w:val="800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845">
    <w:name w:val="endnote text"/>
    <w:basedOn w:val="767"/>
    <w:link w:val="803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846">
    <w:name w:val="Index Heading"/>
    <w:basedOn w:val="830"/>
    <w:pPr>
      <w:pBdr/>
      <w:spacing/>
      <w:ind/>
    </w:pPr>
  </w:style>
  <w:style w:type="paragraph" w:styleId="847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848">
    <w:name w:val="table of figures"/>
    <w:basedOn w:val="767"/>
    <w:next w:val="767"/>
    <w:uiPriority w:val="99"/>
    <w:unhideWhenUsed/>
    <w:qFormat/>
    <w:pPr>
      <w:pBdr/>
      <w:spacing w:after="0" w:afterAutospacing="0" w:before="0"/>
      <w:ind/>
    </w:pPr>
  </w:style>
  <w:style w:type="paragraph" w:styleId="849">
    <w:name w:val="Заголовок 2,Заголовок 2 Знак"/>
    <w:basedOn w:val="767"/>
    <w:next w:val="767"/>
    <w:qFormat/>
    <w:pPr>
      <w:keepNext w:val="true"/>
      <w:numPr>
        <w:ilvl w:val="1"/>
        <w:numId w:val="1"/>
      </w:numPr>
      <w:pBdr/>
      <w:spacing w:after="120" w:before="360"/>
      <w:ind/>
      <w:outlineLvl w:val="1"/>
    </w:pPr>
    <w:rPr>
      <w:b/>
      <w:bCs/>
      <w:smallCaps/>
      <w:sz w:val="32"/>
      <w:szCs w:val="28"/>
      <w:lang w:val="ru-RU"/>
    </w:rPr>
  </w:style>
  <w:style w:type="paragraph" w:styleId="850">
    <w:name w:val="Знак Знак Знак Знак Знак Знак Знак Знак Знак1"/>
    <w:basedOn w:val="767"/>
    <w:qFormat/>
    <w:pPr>
      <w:pBdr/>
      <w:spacing w:after="160" w:before="0" w:line="240" w:lineRule="exact"/>
      <w:ind/>
      <w:jc w:val="both"/>
    </w:pPr>
    <w:rPr>
      <w:rFonts w:ascii="Verdana" w:hAnsi="Verdana"/>
      <w:sz w:val="22"/>
      <w:szCs w:val="20"/>
      <w:lang w:val="en-US" w:eastAsia="en-US"/>
    </w:rPr>
  </w:style>
  <w:style w:type="paragraph" w:styleId="851">
    <w:name w:val="Обычный1"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Tahoma" w:cs="Lohit Devanagari"/>
      <w:color w:val="auto"/>
      <w:sz w:val="20"/>
      <w:szCs w:val="20"/>
      <w:lang w:val="ru-RU" w:eastAsia="ru-RU" w:bidi="ar-SA"/>
    </w:rPr>
  </w:style>
  <w:style w:type="paragraph" w:styleId="852">
    <w:name w:val="Текст"/>
    <w:basedOn w:val="767"/>
    <w:unhideWhenUsed/>
    <w:qFormat/>
    <w:pPr>
      <w:pBdr/>
      <w:spacing/>
      <w:ind/>
    </w:pPr>
    <w:rPr>
      <w:rFonts w:ascii="Consolas" w:hAnsi="Consolas" w:eastAsia="Calibri"/>
      <w:sz w:val="21"/>
      <w:szCs w:val="21"/>
      <w:lang w:eastAsia="en-US"/>
    </w:rPr>
  </w:style>
  <w:style w:type="paragraph" w:styleId="853">
    <w:name w:val="Подпункт договора"/>
    <w:basedOn w:val="767"/>
    <w:qFormat/>
    <w:pPr>
      <w:pBdr/>
      <w:tabs>
        <w:tab w:val="left" w:leader="none" w:pos="360"/>
        <w:tab w:val="clear" w:leader="none" w:pos="708"/>
      </w:tabs>
      <w:spacing/>
      <w:ind/>
      <w:jc w:val="both"/>
    </w:pPr>
    <w:rPr>
      <w:rFonts w:ascii="Arial" w:hAnsi="Arial"/>
      <w:sz w:val="20"/>
      <w:szCs w:val="20"/>
      <w:lang w:val="ru-RU"/>
    </w:rPr>
  </w:style>
  <w:style w:type="paragraph" w:styleId="854">
    <w:name w:val="Пункт"/>
    <w:basedOn w:val="767"/>
    <w:qFormat/>
    <w:pPr>
      <w:numPr>
        <w:ilvl w:val="2"/>
        <w:numId w:val="1"/>
      </w:numPr>
      <w:pBdr/>
      <w:spacing/>
      <w:ind/>
      <w:jc w:val="both"/>
    </w:pPr>
    <w:rPr>
      <w:sz w:val="28"/>
      <w:lang w:val="ru-RU"/>
    </w:rPr>
  </w:style>
  <w:style w:type="paragraph" w:styleId="855">
    <w:name w:val="Подпункт"/>
    <w:basedOn w:val="854"/>
    <w:qFormat/>
    <w:pPr>
      <w:numPr>
        <w:ilvl w:val="3"/>
        <w:numId w:val="1"/>
      </w:numPr>
      <w:pBdr/>
      <w:spacing/>
      <w:ind/>
    </w:pPr>
  </w:style>
  <w:style w:type="paragraph" w:styleId="856">
    <w:name w:val="Подподпункт"/>
    <w:basedOn w:val="855"/>
    <w:qFormat/>
    <w:pPr>
      <w:numPr>
        <w:ilvl w:val="4"/>
        <w:numId w:val="1"/>
      </w:numPr>
      <w:pBdr/>
      <w:spacing/>
      <w:ind/>
    </w:pPr>
  </w:style>
  <w:style w:type="paragraph" w:styleId="857">
    <w:name w:val="Пункт договора"/>
    <w:basedOn w:val="767"/>
    <w:qFormat/>
    <w:pPr>
      <w:widowControl w:val="false"/>
      <w:pBdr/>
      <w:spacing/>
      <w:ind/>
      <w:jc w:val="both"/>
    </w:pPr>
    <w:rPr>
      <w:rFonts w:ascii="Arial" w:hAnsi="Arial"/>
      <w:sz w:val="20"/>
      <w:szCs w:val="20"/>
      <w:lang w:val="ru-RU"/>
    </w:rPr>
  </w:style>
  <w:style w:type="paragraph" w:styleId="858">
    <w:name w:val="Знак"/>
    <w:basedOn w:val="767"/>
    <w:qFormat/>
    <w:pPr>
      <w:pBdr/>
      <w:spacing w:after="160" w:before="0" w:line="240" w:lineRule="exact"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59">
    <w:name w:val="Текст сноски"/>
    <w:basedOn w:val="767"/>
    <w:link w:val="823"/>
    <w:uiPriority w:val="99"/>
    <w:qFormat/>
    <w:pPr>
      <w:pBdr/>
      <w:spacing/>
      <w:ind/>
    </w:pPr>
    <w:rPr>
      <w:sz w:val="20"/>
      <w:szCs w:val="20"/>
      <w:lang w:eastAsia="en-US"/>
    </w:rPr>
  </w:style>
  <w:style w:type="paragraph" w:styleId="860">
    <w:name w:val="Раздел договора"/>
    <w:basedOn w:val="767"/>
    <w:next w:val="857"/>
    <w:qFormat/>
    <w:pPr>
      <w:keepNext w:val="true"/>
      <w:keepLines w:val="true"/>
      <w:widowControl w:val="false"/>
      <w:pBdr/>
      <w:spacing w:after="200" w:before="240"/>
      <w:ind/>
    </w:pPr>
    <w:rPr>
      <w:rFonts w:ascii="Arial" w:hAnsi="Arial"/>
      <w:b/>
      <w:caps/>
      <w:sz w:val="20"/>
      <w:szCs w:val="20"/>
      <w:lang w:val="ru-RU"/>
    </w:rPr>
  </w:style>
  <w:style w:type="paragraph" w:styleId="861">
    <w:name w:val="Текст выноски"/>
    <w:basedOn w:val="767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62">
    <w:name w:val="Основной текст 3"/>
    <w:basedOn w:val="767"/>
    <w:link w:val="810"/>
    <w:qFormat/>
    <w:pPr>
      <w:pBdr/>
      <w:spacing w:after="120" w:before="0"/>
      <w:ind/>
    </w:pPr>
    <w:rPr>
      <w:sz w:val="16"/>
      <w:szCs w:val="16"/>
      <w:lang w:eastAsia="en-US"/>
    </w:rPr>
  </w:style>
  <w:style w:type="paragraph" w:styleId="863">
    <w:name w:val="ConsNormal"/>
    <w:qFormat/>
    <w:pPr>
      <w:widowControl w:val="true"/>
      <w:pBdr/>
      <w:bidi w:val="false"/>
      <w:spacing w:after="0" w:before="0"/>
      <w:ind w:right="19772" w:firstLine="720"/>
      <w:jc w:val="left"/>
    </w:pPr>
    <w:rPr>
      <w:rFonts w:ascii="Arial" w:hAnsi="Arial" w:eastAsia="Tahoma" w:cs="Lohit Devanagari"/>
      <w:color w:val="auto"/>
      <w:sz w:val="32"/>
      <w:szCs w:val="20"/>
      <w:lang w:val="ru-RU" w:eastAsia="en-US" w:bidi="ar-SA"/>
    </w:rPr>
  </w:style>
  <w:style w:type="paragraph" w:styleId="864">
    <w:name w:val="Знак Знак Знак Знак Знак Знак Знак Знак Знак"/>
    <w:basedOn w:val="767"/>
    <w:qFormat/>
    <w:pPr>
      <w:pBdr/>
      <w:spacing w:after="160" w:before="0" w:line="240" w:lineRule="exact"/>
      <w:ind/>
      <w:jc w:val="both"/>
    </w:pPr>
    <w:rPr>
      <w:rFonts w:ascii="Verdana" w:hAnsi="Verdana"/>
      <w:sz w:val="22"/>
      <w:szCs w:val="20"/>
      <w:lang w:val="en-US" w:eastAsia="en-US"/>
    </w:rPr>
  </w:style>
  <w:style w:type="paragraph" w:styleId="865">
    <w:name w:val="Абзац списка,Table-Normal,RSHB_Table-Normal,Заголовок_3,Подпись рисунка,асз.Списка,Bullet 1,Use Case List Paragraph,List Paragraph,Bullet List,FooterText,numbered,Paragraphe de liste1,Bulletr List Paragraph"/>
    <w:basedOn w:val="767"/>
    <w:link w:val="827"/>
    <w:uiPriority w:val="34"/>
    <w:qFormat/>
    <w:pPr>
      <w:pBdr/>
      <w:spacing w:after="0" w:before="0"/>
      <w:ind w:firstLine="0" w:left="720"/>
      <w:contextualSpacing w:val="true"/>
    </w:pPr>
    <w:rPr>
      <w:lang w:val="ru-RU"/>
    </w:rPr>
  </w:style>
  <w:style w:type="paragraph" w:styleId="866">
    <w:name w:val="Текст примечания"/>
    <w:basedOn w:val="767"/>
    <w:link w:val="813"/>
    <w:uiPriority w:val="99"/>
    <w:qFormat/>
    <w:pPr>
      <w:pBdr/>
      <w:spacing/>
      <w:ind/>
    </w:pPr>
    <w:rPr>
      <w:sz w:val="20"/>
      <w:szCs w:val="20"/>
      <w:lang w:eastAsia="en-US"/>
    </w:rPr>
  </w:style>
  <w:style w:type="paragraph" w:styleId="867">
    <w:name w:val="Тема примечания"/>
    <w:basedOn w:val="866"/>
    <w:next w:val="866"/>
    <w:link w:val="814"/>
    <w:qFormat/>
    <w:pPr>
      <w:pBdr/>
      <w:spacing/>
      <w:ind/>
    </w:pPr>
    <w:rPr>
      <w:b/>
      <w:bCs/>
    </w:rPr>
  </w:style>
  <w:style w:type="paragraph" w:styleId="868">
    <w:name w:val="Основной текст с отступом 3"/>
    <w:basedOn w:val="767"/>
    <w:link w:val="815"/>
    <w:qFormat/>
    <w:pPr>
      <w:pBdr/>
      <w:spacing w:after="120" w:before="0" w:line="360" w:lineRule="auto"/>
      <w:ind w:firstLine="567" w:left="283"/>
      <w:jc w:val="both"/>
    </w:pPr>
    <w:rPr>
      <w:sz w:val="16"/>
      <w:szCs w:val="16"/>
      <w:lang w:val="en-US" w:eastAsia="en-US"/>
    </w:rPr>
  </w:style>
  <w:style w:type="paragraph" w:styleId="869">
    <w:name w:val="Рецензия"/>
    <w:uiPriority w:val="99"/>
    <w:semiHidden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Tahoma" w:cs="Lohit Devanagari"/>
      <w:color w:val="auto"/>
      <w:sz w:val="24"/>
      <w:szCs w:val="24"/>
      <w:lang w:val="en-GB" w:eastAsia="ru-RU" w:bidi="ar-SA"/>
    </w:rPr>
  </w:style>
  <w:style w:type="paragraph" w:styleId="870">
    <w:name w:val="ConsPlusNormal"/>
    <w:qFormat/>
    <w:pPr>
      <w:widowControl w:val="false"/>
      <w:pBdr/>
      <w:bidi w:val="false"/>
      <w:spacing w:after="0" w:before="0"/>
      <w:ind w:firstLine="720"/>
      <w:jc w:val="left"/>
    </w:pPr>
    <w:rPr>
      <w:rFonts w:ascii="Arial" w:hAnsi="Arial" w:eastAsia="Tahoma" w:cs="Arial"/>
      <w:color w:val="auto"/>
      <w:sz w:val="20"/>
      <w:szCs w:val="20"/>
      <w:lang w:val="ru-RU" w:eastAsia="ru-RU" w:bidi="ar-SA"/>
    </w:rPr>
  </w:style>
  <w:style w:type="paragraph" w:styleId="871">
    <w:name w:val="Основной текст 2"/>
    <w:basedOn w:val="767"/>
    <w:link w:val="820"/>
    <w:qFormat/>
    <w:pPr>
      <w:pBdr/>
      <w:spacing w:after="120" w:before="0" w:line="480" w:lineRule="auto"/>
      <w:ind/>
    </w:pPr>
    <w:rPr>
      <w:lang w:val="en-US" w:eastAsia="en-US"/>
    </w:rPr>
  </w:style>
  <w:style w:type="paragraph" w:styleId="872">
    <w:name w:val="Body Text Indent"/>
    <w:basedOn w:val="767"/>
    <w:link w:val="821"/>
    <w:pPr>
      <w:pBdr/>
      <w:spacing w:after="120" w:before="0"/>
      <w:ind w:firstLine="0" w:left="283"/>
    </w:pPr>
    <w:rPr>
      <w:lang w:val="en-US" w:eastAsia="en-US"/>
    </w:rPr>
  </w:style>
  <w:style w:type="paragraph" w:styleId="873">
    <w:name w:val="Пункт 3.3.3"/>
    <w:basedOn w:val="767"/>
    <w:qFormat/>
    <w:pPr>
      <w:keepNext w:val="true"/>
      <w:keepLines w:val="true"/>
      <w:widowControl w:val="false"/>
      <w:pBdr/>
      <w:tabs>
        <w:tab w:val="clear" w:leader="none" w:pos="708"/>
        <w:tab w:val="left" w:leader="none" w:pos="920"/>
      </w:tabs>
      <w:spacing w:after="240" w:before="240"/>
      <w:ind w:hanging="504" w:left="704"/>
      <w:outlineLvl w:val="1"/>
    </w:pPr>
    <w:rPr>
      <w:szCs w:val="20"/>
      <w:lang w:val="ru-RU"/>
    </w:rPr>
  </w:style>
  <w:style w:type="paragraph" w:styleId="874">
    <w:name w:val="Название объекта"/>
    <w:basedOn w:val="767"/>
    <w:next w:val="767"/>
    <w:qFormat/>
    <w:pPr>
      <w:widowControl w:val="false"/>
      <w:pBdr/>
      <w:spacing w:after="120" w:before="120"/>
      <w:ind/>
      <w:jc w:val="both"/>
    </w:pPr>
    <w:rPr>
      <w:b/>
      <w:bCs/>
      <w:lang w:val="ru-RU"/>
    </w:rPr>
  </w:style>
  <w:style w:type="paragraph" w:styleId="875">
    <w:name w:val="1. Статья"/>
    <w:basedOn w:val="770"/>
    <w:qFormat/>
    <w:pPr>
      <w:keepNext w:val="false"/>
      <w:keepLines w:val="false"/>
      <w:widowControl w:val="false"/>
      <w:numPr>
        <w:ilvl w:val="0"/>
        <w:numId w:val="4"/>
      </w:numPr>
      <w:pBdr/>
      <w:tabs>
        <w:tab w:val="clear" w:leader="none" w:pos="708"/>
        <w:tab w:val="left" w:leader="none" w:pos="2340"/>
      </w:tabs>
      <w:spacing w:after="0" w:before="0"/>
      <w:ind w:right="1462" w:firstLine="0"/>
      <w:jc w:val="center"/>
    </w:pPr>
    <w:rPr>
      <w:rFonts w:ascii="Times New Roman" w:hAnsi="Times New Roman"/>
      <w:b w:val="0"/>
      <w:bCs w:val="0"/>
      <w:color w:val="000000"/>
      <w:lang w:val="en-US"/>
    </w:rPr>
  </w:style>
  <w:style w:type="paragraph" w:styleId="876">
    <w:name w:val="2. Пункт"/>
    <w:basedOn w:val="770"/>
    <w:qFormat/>
    <w:pPr>
      <w:keepNext w:val="false"/>
      <w:keepLines w:val="false"/>
      <w:widowControl w:val="false"/>
      <w:numPr>
        <w:ilvl w:val="1"/>
        <w:numId w:val="4"/>
      </w:numPr>
      <w:pBdr/>
      <w:spacing w:after="0" w:before="0"/>
      <w:ind/>
      <w:jc w:val="both"/>
    </w:pPr>
    <w:rPr>
      <w:rFonts w:ascii="Times New Roman" w:hAnsi="Times New Roman"/>
      <w:b w:val="0"/>
      <w:bCs w:val="0"/>
      <w:color w:val="000000"/>
      <w:lang w:val="en-US"/>
    </w:rPr>
  </w:style>
  <w:style w:type="paragraph" w:styleId="877">
    <w:name w:val="3. Подпункт"/>
    <w:basedOn w:val="770"/>
    <w:link w:val="826"/>
    <w:qFormat/>
    <w:pPr>
      <w:keepNext w:val="false"/>
      <w:keepLines w:val="false"/>
      <w:widowControl w:val="false"/>
      <w:numPr>
        <w:ilvl w:val="2"/>
        <w:numId w:val="4"/>
      </w:numPr>
      <w:pBdr/>
      <w:tabs>
        <w:tab w:val="clear" w:leader="none" w:pos="708"/>
        <w:tab w:val="left" w:leader="none" w:pos="1620"/>
      </w:tabs>
      <w:spacing w:after="0" w:before="0"/>
      <w:ind/>
      <w:jc w:val="both"/>
    </w:pPr>
    <w:rPr>
      <w:rFonts w:ascii="Times New Roman" w:hAnsi="Times New Roman"/>
      <w:color w:val="000000"/>
      <w:lang w:val="en-US"/>
    </w:rPr>
  </w:style>
  <w:style w:type="paragraph" w:styleId="878">
    <w:name w:val="Без интервала"/>
    <w:uiPriority w:val="1"/>
    <w:qFormat/>
    <w:pPr>
      <w:widowControl w:val="true"/>
      <w:pBdr/>
      <w:bidi w:val="false"/>
      <w:spacing w:after="0" w:before="0"/>
      <w:ind/>
      <w:jc w:val="left"/>
    </w:pPr>
    <w:rPr>
      <w:rFonts w:ascii="Calibri" w:hAnsi="Calibri" w:eastAsia="Calibri" w:cs="Lohit Devanagari"/>
      <w:color w:val="auto"/>
      <w:sz w:val="22"/>
      <w:szCs w:val="22"/>
      <w:lang w:val="ru-RU" w:eastAsia="en-US" w:bidi="ar-SA"/>
    </w:rPr>
  </w:style>
  <w:style w:type="paragraph" w:styleId="879">
    <w:name w:val="Основной текст (2)"/>
    <w:basedOn w:val="767"/>
    <w:link w:val="828"/>
    <w:qFormat/>
    <w:pPr>
      <w:widowControl w:val="false"/>
      <w:pBdr/>
      <w:shd w:val="clear" w:color="auto" w:fill="ffffff"/>
      <w:spacing w:line="274" w:lineRule="exact"/>
      <w:ind/>
      <w:jc w:val="both"/>
    </w:pPr>
    <w:rPr>
      <w:b/>
      <w:bCs/>
      <w:sz w:val="20"/>
      <w:szCs w:val="20"/>
      <w:lang w:val="ru-RU"/>
    </w:rPr>
  </w:style>
  <w:style w:type="paragraph" w:styleId="880" w:customStyle="1">
    <w:name w:val="ConsPlusNonformat"/>
    <w:uiPriority w:val="99"/>
    <w:qFormat/>
    <w:pPr>
      <w:keepNext w:val="false"/>
      <w:keepLines w:val="false"/>
      <w:pageBreakBefore w:val="false"/>
      <w:widowControl w:val="true"/>
      <w:pBdr/>
      <w:shd w:val="nil"/>
      <w:bidi w:val="false"/>
      <w:spacing w:after="0" w:afterAutospacing="0" w:before="0" w:beforeAutospacing="0" w:line="240" w:lineRule="auto"/>
      <w:ind w:right="0" w:firstLine="0" w:left="0"/>
      <w:jc w:val="left"/>
    </w:pPr>
    <w:rPr>
      <w:rFonts w:ascii="Courier New" w:hAnsi="Courier New" w:eastAsia="Arial" w:cs="Courier New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u w:val="none"/>
      <w:vertAlign w:val="baseline"/>
      <w:lang w:val="ru-RU" w:eastAsia="en-US" w:bidi="ar-SA"/>
      <w14:ligatures w14:val="none"/>
    </w:rPr>
  </w:style>
  <w:style w:type="numbering" w:styleId="881" w:default="1">
    <w:name w:val="No List"/>
    <w:uiPriority w:val="99"/>
    <w:semiHidden/>
    <w:unhideWhenUsed/>
    <w:qFormat/>
    <w:pPr>
      <w:pBdr/>
      <w:spacing/>
      <w:ind/>
    </w:pPr>
  </w:style>
  <w:style w:type="numbering" w:styleId="882">
    <w:name w:val="Нет списка"/>
    <w:uiPriority w:val="99"/>
    <w:semiHidden/>
    <w:unhideWhenUsed/>
    <w:qFormat/>
    <w:pPr>
      <w:pBdr/>
      <w:spacing/>
      <w:ind/>
    </w:pPr>
  </w:style>
  <w:style w:type="table" w:styleId="883" w:default="1">
    <w:name w:val="Normal Table"/>
    <w:uiPriority w:val="99"/>
    <w:semiHidden/>
    <w:unhideWhenUsed/>
    <w:pPr>
      <w:pBdr/>
      <w:spacing/>
      <w:ind/>
    </w:pPr>
    <w:tblPr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Table Grid"/>
    <w:basedOn w:val="883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Table Grid Light"/>
    <w:basedOn w:val="883"/>
    <w:uiPriority w:val="59"/>
    <w:pPr>
      <w:pBdr/>
      <w:spacing w:after="0" w:line="240" w:lineRule="auto"/>
      <w:ind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Plain Table 1"/>
    <w:basedOn w:val="883"/>
    <w:uiPriority w:val="59"/>
    <w:pPr>
      <w:pBdr/>
      <w:spacing w:after="0" w:line="240" w:lineRule="auto"/>
      <w:ind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Plain Table 2"/>
    <w:basedOn w:val="883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Plain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Plain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Plain Table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4 - Accent 1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ce6f2" w:themeFill="accent1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4 - Accent 2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4 - Accent 3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4 - Accent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4 - Accent 5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4 - Accent 6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5 Dark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5 Dark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5f2" w:themeFill="accent1" w:themeFillTint="34"/>
        <w:tcBorders/>
      </w:tcPr>
    </w:tblStylePr>
    <w:tblStylePr w:type="band2Horz">
      <w:rPr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Horz">
      <w:rPr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Horz">
      <w:rPr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Horz">
      <w:rPr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Horz">
      <w:rPr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Horz">
      <w:rPr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4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4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4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4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4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4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5 Dark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3d69c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5 Dark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2cddd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ac091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3dfee" w:themeFill="accent1" w:themeFillTint="40"/>
        <w:tcBorders/>
      </w:tcPr>
    </w:tblStylePr>
    <w:tblStylePr w:type="band2Horz">
      <w:rPr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fd3d2" w:themeFill="accent2" w:themeFillTint="40"/>
        <w:tcBorders/>
      </w:tcPr>
    </w:tblStylePr>
    <w:tblStylePr w:type="band2Horz">
      <w:rPr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6eed5" w:themeFill="accent3" w:themeFillTint="40"/>
        <w:tcBorders/>
      </w:tcPr>
    </w:tblStylePr>
    <w:tblStylePr w:type="band2Horz">
      <w:rPr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fd8e8" w:themeFill="accent4" w:themeFillTint="40"/>
        <w:tcBorders/>
      </w:tcPr>
    </w:tblStylePr>
    <w:tblStylePr w:type="band2Horz">
      <w:rPr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2eaf1" w:themeFill="accent5" w:themeFillTint="40"/>
        <w:tcBorders/>
      </w:tcPr>
    </w:tblStylePr>
    <w:tblStylePr w:type="band2Horz">
      <w:rPr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de5d1" w:themeFill="accent6" w:themeFillTint="40"/>
        <w:tcBorders/>
      </w:tcPr>
    </w:tblStylePr>
    <w:tblStylePr w:type="band2Horz">
      <w:rPr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Bordered &amp; 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Bordered &amp; 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c8d7ea" w:themeFill="accent1" w:themeFillTint="50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Bordered &amp; 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3dddc" w:themeFill="accent2" w:themeFillTint="32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Bordered &amp; 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bf1dd" w:themeFill="accent3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Bordered &amp; 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e5dfec" w:themeFill="accent4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Bordered &amp; 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daeef3" w:themeFill="accent5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Bordered &amp; 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band2Vert">
      <w:rPr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fill="fdead9" w:themeFill="accent6" w:themeFillTint="34"/>
        <w:tcBorders/>
      </w:tcPr>
    </w:tblStylePr>
    <w:tblStylePr w:type="fir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fir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Col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lastRow">
      <w:rPr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Bordered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Bordered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Bordered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Bordered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Bordered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Bordered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Bordered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Обычная таблица"/>
    <w:uiPriority w:val="99"/>
    <w:semiHidden/>
    <w:unhideWhenUsed/>
    <w:pPr>
      <w:pBdr/>
      <w:spacing/>
      <w:ind/>
    </w:pPr>
    <w:tblPr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Сетка таблицы"/>
    <w:basedOn w:val="1010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mailto:ld@rushydro.ru" TargetMode="External"/><Relationship Id="rId11" Type="http://schemas.openxmlformats.org/officeDocument/2006/relationships/hyperlink" Target="http://www.rushydro.ru/" TargetMode="External"/><Relationship Id="rId12" Type="http://schemas.openxmlformats.org/officeDocument/2006/relationships/hyperlink" Target="mailto:mail@sakhaenergo.ru" TargetMode="External"/><Relationship Id="rId13" Type="http://schemas.openxmlformats.org/officeDocument/2006/relationships/image" Target="media/image1.png"/><Relationship Id="rId14" Type="http://schemas.openxmlformats.org/officeDocument/2006/relationships/image" Target="media/image2.png"/><Relationship Id="rId15" Type="http://schemas.openxmlformats.org/officeDocument/2006/relationships/image" Target="media/image3.png"/><Relationship Id="rId16" Type="http://schemas.openxmlformats.org/officeDocument/2006/relationships/image" Target="media/image4.png"/><Relationship Id="rId17" Type="http://schemas.openxmlformats.org/officeDocument/2006/relationships/image" Target="media/image5.png"/><Relationship Id="rId18" Type="http://schemas.openxmlformats.org/officeDocument/2006/relationships/image" Target="media/image6.png"/><Relationship Id="rId19" Type="http://schemas.openxmlformats.org/officeDocument/2006/relationships/image" Target="media/image7.png"/><Relationship Id="rId20" Type="http://schemas.openxmlformats.org/officeDocument/2006/relationships/image" Target="media/image8.png"/><Relationship Id="rId21" Type="http://schemas.openxmlformats.org/officeDocument/2006/relationships/image" Target="media/image9.png"/><Relationship Id="rId22" Type="http://schemas.openxmlformats.org/officeDocument/2006/relationships/image" Target="media/media1.svg"/><Relationship Id="rId23" Type="http://schemas.openxmlformats.org/officeDocument/2006/relationships/image" Target="media/image10.png"/><Relationship Id="rId24" Type="http://schemas.openxmlformats.org/officeDocument/2006/relationships/image" Target="media/media2.svg"/><Relationship Id="rId25" Type="http://schemas.openxmlformats.org/officeDocument/2006/relationships/image" Target="media/image11.png"/><Relationship Id="rId26" Type="http://schemas.openxmlformats.org/officeDocument/2006/relationships/image" Target="media/image12.png"/><Relationship Id="rId27" Type="http://schemas.openxmlformats.org/officeDocument/2006/relationships/image" Target="media/media3.svg"/><Relationship Id="rId28" Type="http://schemas.openxmlformats.org/officeDocument/2006/relationships/image" Target="media/image13.png"/><Relationship Id="rId29" Type="http://schemas.openxmlformats.org/officeDocument/2006/relationships/image" Target="media/media4.svg"/><Relationship Id="rId30" Type="http://schemas.openxmlformats.org/officeDocument/2006/relationships/image" Target="media/image14.png"/><Relationship Id="rId31" Type="http://schemas.openxmlformats.org/officeDocument/2006/relationships/image" Target="media/media5.svg"/><Relationship Id="rId32" Type="http://schemas.openxmlformats.org/officeDocument/2006/relationships/image" Target="media/image15.png"/><Relationship Id="rId33" Type="http://schemas.openxmlformats.org/officeDocument/2006/relationships/image" Target="media/media6.svg"/><Relationship Id="rId34" Type="http://schemas.openxmlformats.org/officeDocument/2006/relationships/image" Target="media/image16.png"/><Relationship Id="rId35" Type="http://schemas.openxmlformats.org/officeDocument/2006/relationships/image" Target="media/media7.svg"/><Relationship Id="rId36" Type="http://schemas.openxmlformats.org/officeDocument/2006/relationships/image" Target="media/image17.png"/><Relationship Id="rId37" Type="http://schemas.openxmlformats.org/officeDocument/2006/relationships/image" Target="media/media8.svg"/><Relationship Id="rId38" Type="http://schemas.openxmlformats.org/officeDocument/2006/relationships/image" Target="media/image18.png"/><Relationship Id="rId39" Type="http://schemas.openxmlformats.org/officeDocument/2006/relationships/image" Target="media/media9.svg"/><Relationship Id="rId40" Type="http://schemas.openxmlformats.org/officeDocument/2006/relationships/image" Target="media/image19.png"/><Relationship Id="rId41" Type="http://schemas.openxmlformats.org/officeDocument/2006/relationships/image" Target="media/media10.svg"/><Relationship Id="rId42" Type="http://schemas.openxmlformats.org/officeDocument/2006/relationships/image" Target="media/image20.png"/><Relationship Id="rId43" Type="http://schemas.openxmlformats.org/officeDocument/2006/relationships/image" Target="media/media11.svg"/><Relationship Id="rId44" Type="http://schemas.openxmlformats.org/officeDocument/2006/relationships/image" Target="media/image21.png"/><Relationship Id="rId45" Type="http://schemas.openxmlformats.org/officeDocument/2006/relationships/image" Target="media/media12.svg"/><Relationship Id="rId46" Type="http://schemas.openxmlformats.org/officeDocument/2006/relationships/image" Target="media/image22.png"/><Relationship Id="rId47" Type="http://schemas.openxmlformats.org/officeDocument/2006/relationships/image" Target="media/media13.svg"/><Relationship Id="rId48" Type="http://schemas.openxmlformats.org/officeDocument/2006/relationships/image" Target="media/image23.png"/><Relationship Id="rId49" Type="http://schemas.openxmlformats.org/officeDocument/2006/relationships/image" Target="media/media14.svg"/><Relationship Id="rId50" Type="http://schemas.openxmlformats.org/officeDocument/2006/relationships/image" Target="media/image24.png"/><Relationship Id="rId51" Type="http://schemas.openxmlformats.org/officeDocument/2006/relationships/image" Target="media/media15.svg"/><Relationship Id="rId52" Type="http://schemas.openxmlformats.org/officeDocument/2006/relationships/image" Target="media/image25.png"/><Relationship Id="rId53" Type="http://schemas.openxmlformats.org/officeDocument/2006/relationships/image" Target="media/image26.png"/><Relationship Id="rId54" Type="http://schemas.openxmlformats.org/officeDocument/2006/relationships/image" Target="media/media16.svg"/><Relationship Id="rId55" Type="http://schemas.openxmlformats.org/officeDocument/2006/relationships/image" Target="media/image27.png"/><Relationship Id="rId56" Type="http://schemas.openxmlformats.org/officeDocument/2006/relationships/image" Target="media/image28.png"/><Relationship Id="rId57" Type="http://schemas.openxmlformats.org/officeDocument/2006/relationships/image" Target="media/image29.png"/><Relationship Id="rId58" Type="http://schemas.openxmlformats.org/officeDocument/2006/relationships/image" Target="media/image30.png"/><Relationship Id="rId59" Type="http://schemas.openxmlformats.org/officeDocument/2006/relationships/image" Target="media/image31.png"/><Relationship Id="rId60" Type="http://schemas.openxmlformats.org/officeDocument/2006/relationships/image" Target="media/media17.svg"/><Relationship Id="rId61" Type="http://schemas.openxmlformats.org/officeDocument/2006/relationships/image" Target="media/image32.png"/><Relationship Id="rId62" Type="http://schemas.openxmlformats.org/officeDocument/2006/relationships/image" Target="media/image33.png"/><Relationship Id="rId63" Type="http://schemas.openxmlformats.org/officeDocument/2006/relationships/image" Target="media/image34.png"/><Relationship Id="rId64" Type="http://schemas.openxmlformats.org/officeDocument/2006/relationships/image" Target="media/image35.png"/><Relationship Id="rId65" Type="http://schemas.openxmlformats.org/officeDocument/2006/relationships/image" Target="media/image36.png"/><Relationship Id="rId66" Type="http://schemas.openxmlformats.org/officeDocument/2006/relationships/image" Target="media/image37.png"/><Relationship Id="rId67" Type="http://schemas.openxmlformats.org/officeDocument/2006/relationships/image" Target="media/image38.png"/><Relationship Id="rId68" Type="http://schemas.openxmlformats.org/officeDocument/2006/relationships/image" Target="media/image39.png"/><Relationship Id="rId69" Type="http://schemas.openxmlformats.org/officeDocument/2006/relationships/image" Target="media/image40.png"/><Relationship Id="rId70" Type="http://schemas.openxmlformats.org/officeDocument/2006/relationships/image" Target="media/image41.png"/><Relationship Id="rId71" Type="http://schemas.openxmlformats.org/officeDocument/2006/relationships/image" Target="media/image42.png"/><Relationship Id="rId72" Type="http://schemas.openxmlformats.org/officeDocument/2006/relationships/image" Target="media/image43.png"/><Relationship Id="rId73" Type="http://schemas.openxmlformats.org/officeDocument/2006/relationships/image" Target="media/image44.png"/><Relationship Id="rId74" Type="http://schemas.openxmlformats.org/officeDocument/2006/relationships/image" Target="media/image45.png"/><Relationship Id="rId75" Type="http://schemas.openxmlformats.org/officeDocument/2006/relationships/image" Target="media/image46.png"/><Relationship Id="rId76" Type="http://schemas.openxmlformats.org/officeDocument/2006/relationships/image" Target="media/media18.svg"/><Relationship Id="rId77" Type="http://schemas.openxmlformats.org/officeDocument/2006/relationships/image" Target="media/image47.png"/><Relationship Id="rId78" Type="http://schemas.openxmlformats.org/officeDocument/2006/relationships/image" Target="media/media19.svg"/><Relationship Id="rId79" Type="http://schemas.openxmlformats.org/officeDocument/2006/relationships/image" Target="media/image48.png"/><Relationship Id="rId80" Type="http://schemas.openxmlformats.org/officeDocument/2006/relationships/image" Target="media/media20.svg"/><Relationship Id="rId81" Type="http://schemas.openxmlformats.org/officeDocument/2006/relationships/image" Target="media/image49.png"/><Relationship Id="rId82" Type="http://schemas.openxmlformats.org/officeDocument/2006/relationships/image" Target="media/media21.svg"/><Relationship Id="rId83" Type="http://schemas.openxmlformats.org/officeDocument/2006/relationships/image" Target="media/image50.png"/><Relationship Id="rId84" Type="http://schemas.openxmlformats.org/officeDocument/2006/relationships/image" Target="media/image51.png"/><Relationship Id="rId85" Type="http://schemas.openxmlformats.org/officeDocument/2006/relationships/image" Target="media/image5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>УК ГидроОГК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subject/>
  <dc:creator>UK VoHEC</dc:creator>
  <dc:description/>
  <dc:language>ru-RU</dc:language>
  <cp:revision>64</cp:revision>
  <dcterms:created xsi:type="dcterms:W3CDTF">2019-05-28T01:28:00Z</dcterms:created>
  <dcterms:modified xsi:type="dcterms:W3CDTF">2026-05-26T02:40:55Z</dcterms:modified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